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3072" w14:textId="77777777" w:rsidR="00F276E8" w:rsidRDefault="00F276E8" w:rsidP="00F276E8">
      <w:pPr>
        <w:widowControl/>
        <w:jc w:val="center"/>
        <w:rPr>
          <w:sz w:val="24"/>
          <w:szCs w:val="24"/>
        </w:rPr>
      </w:pPr>
      <w:r>
        <w:rPr>
          <w:noProof/>
          <w:sz w:val="24"/>
          <w:szCs w:val="24"/>
        </w:rPr>
        <w:drawing>
          <wp:inline distT="0" distB="0" distL="0" distR="0" wp14:anchorId="4D4B0941" wp14:editId="52AEEDD6">
            <wp:extent cx="904875"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56416"/>
                    <a:stretch>
                      <a:fillRect/>
                    </a:stretch>
                  </pic:blipFill>
                  <pic:spPr bwMode="auto">
                    <a:xfrm>
                      <a:off x="0" y="0"/>
                      <a:ext cx="904875" cy="847725"/>
                    </a:xfrm>
                    <a:prstGeom prst="rect">
                      <a:avLst/>
                    </a:prstGeom>
                    <a:noFill/>
                    <a:ln w="9525">
                      <a:noFill/>
                      <a:miter lim="800000"/>
                      <a:headEnd/>
                      <a:tailEnd/>
                    </a:ln>
                  </pic:spPr>
                </pic:pic>
              </a:graphicData>
            </a:graphic>
          </wp:inline>
        </w:drawing>
      </w:r>
    </w:p>
    <w:p w14:paraId="20AE87A4" w14:textId="77777777" w:rsidR="00F276E8" w:rsidRDefault="00F276E8" w:rsidP="00F276E8">
      <w:pPr>
        <w:widowControl/>
        <w:jc w:val="center"/>
        <w:rPr>
          <w:sz w:val="16"/>
          <w:szCs w:val="16"/>
        </w:rPr>
      </w:pPr>
    </w:p>
    <w:p w14:paraId="62966CBA" w14:textId="77777777" w:rsidR="00F276E8" w:rsidRDefault="00F276E8" w:rsidP="00F276E8">
      <w:pPr>
        <w:widowControl/>
        <w:jc w:val="center"/>
        <w:rPr>
          <w:smallCaps/>
          <w:sz w:val="28"/>
          <w:szCs w:val="28"/>
        </w:rPr>
      </w:pPr>
      <w:r w:rsidRPr="00EB2BF7">
        <w:rPr>
          <w:b/>
          <w:bCs/>
          <w:smallCaps/>
          <w:sz w:val="44"/>
          <w:szCs w:val="44"/>
        </w:rPr>
        <w:t>Office of Court Administration</w:t>
      </w:r>
    </w:p>
    <w:p w14:paraId="3FD606B8" w14:textId="77777777" w:rsidR="00F276E8" w:rsidRPr="00A81980" w:rsidRDefault="00F276E8" w:rsidP="00F276E8">
      <w:pPr>
        <w:widowControl/>
        <w:jc w:val="right"/>
        <w:rPr>
          <w:rFonts w:ascii="Tahoma" w:hAnsi="Tahoma" w:cs="Tahoma"/>
          <w:sz w:val="16"/>
          <w:szCs w:val="16"/>
        </w:rPr>
      </w:pPr>
      <w:r>
        <w:rPr>
          <w:rFonts w:ascii="Tahoma" w:hAnsi="Tahoma" w:cs="Tahoma"/>
          <w:sz w:val="16"/>
          <w:szCs w:val="16"/>
        </w:rPr>
        <w:t>DAVID SLAYTON</w:t>
      </w:r>
    </w:p>
    <w:p w14:paraId="10CC90F2" w14:textId="77777777" w:rsidR="00F276E8" w:rsidRPr="00AB53D5" w:rsidRDefault="00F276E8" w:rsidP="00F276E8">
      <w:pPr>
        <w:widowControl/>
        <w:jc w:val="right"/>
        <w:rPr>
          <w:rFonts w:ascii="Calibri" w:hAnsi="Calibri" w:cs="Tahoma"/>
          <w:sz w:val="22"/>
          <w:szCs w:val="22"/>
        </w:rPr>
      </w:pPr>
      <w:r w:rsidRPr="00AB53D5">
        <w:rPr>
          <w:rFonts w:ascii="Calibri" w:hAnsi="Calibri" w:cs="Tahoma"/>
          <w:sz w:val="22"/>
          <w:szCs w:val="22"/>
        </w:rPr>
        <w:t>Administrative Director</w:t>
      </w:r>
    </w:p>
    <w:p w14:paraId="12E14E10" w14:textId="1CFF72EF" w:rsidR="00F276E8" w:rsidRPr="00AB53D5" w:rsidRDefault="00AA0FD6" w:rsidP="00F276E8">
      <w:pPr>
        <w:widowControl/>
        <w:jc w:val="center"/>
        <w:rPr>
          <w:rFonts w:ascii="Calibri" w:hAnsi="Calibri"/>
          <w:sz w:val="22"/>
          <w:szCs w:val="22"/>
        </w:rPr>
      </w:pPr>
      <w:r w:rsidRPr="00AB53D5">
        <w:rPr>
          <w:rFonts w:ascii="Calibri" w:hAnsi="Calibri"/>
          <w:sz w:val="22"/>
          <w:szCs w:val="22"/>
        </w:rPr>
        <w:t>October 1</w:t>
      </w:r>
      <w:r w:rsidR="00AD10A6">
        <w:rPr>
          <w:rFonts w:ascii="Calibri" w:hAnsi="Calibri"/>
          <w:sz w:val="22"/>
          <w:szCs w:val="22"/>
        </w:rPr>
        <w:t>2</w:t>
      </w:r>
      <w:r w:rsidRPr="00AB53D5">
        <w:rPr>
          <w:rFonts w:ascii="Calibri" w:hAnsi="Calibri"/>
          <w:sz w:val="22"/>
          <w:szCs w:val="22"/>
        </w:rPr>
        <w:t>, 2017</w:t>
      </w:r>
    </w:p>
    <w:p w14:paraId="687C6D7D" w14:textId="77777777" w:rsidR="00F276E8" w:rsidRPr="00AB53D5" w:rsidRDefault="00F276E8" w:rsidP="00F276E8">
      <w:pPr>
        <w:widowControl/>
        <w:jc w:val="center"/>
        <w:rPr>
          <w:rFonts w:ascii="Calibri" w:hAnsi="Calibri" w:cs="Arial"/>
          <w:sz w:val="22"/>
          <w:szCs w:val="22"/>
        </w:rPr>
      </w:pPr>
    </w:p>
    <w:p w14:paraId="08813EAA" w14:textId="081A0DF8" w:rsidR="00F276E8" w:rsidRPr="00CB137F" w:rsidRDefault="15DFE509" w:rsidP="15DFE509">
      <w:pPr>
        <w:rPr>
          <w:rFonts w:asciiTheme="minorHAnsi" w:hAnsiTheme="minorHAnsi"/>
        </w:rPr>
      </w:pPr>
      <w:r w:rsidRPr="15DFE509">
        <w:rPr>
          <w:rFonts w:asciiTheme="minorHAnsi" w:hAnsiTheme="minorHAnsi"/>
        </w:rPr>
        <w:t>Dear County and/or District Clerk,</w:t>
      </w:r>
    </w:p>
    <w:p w14:paraId="614DA299" w14:textId="77777777" w:rsidR="00F276E8" w:rsidRPr="00CB137F" w:rsidRDefault="00F276E8" w:rsidP="00F276E8">
      <w:pPr>
        <w:rPr>
          <w:rFonts w:asciiTheme="minorHAnsi" w:hAnsiTheme="minorHAnsi"/>
        </w:rPr>
      </w:pPr>
    </w:p>
    <w:p w14:paraId="7A63B32D" w14:textId="1128BF3C" w:rsidR="002924E8" w:rsidRPr="00CB137F" w:rsidRDefault="00F276E8" w:rsidP="002924E8">
      <w:pPr>
        <w:jc w:val="both"/>
        <w:outlineLvl w:val="0"/>
        <w:rPr>
          <w:rFonts w:asciiTheme="minorHAnsi" w:hAnsiTheme="minorHAnsi"/>
        </w:rPr>
      </w:pPr>
      <w:r w:rsidRPr="00CB137F">
        <w:rPr>
          <w:rFonts w:asciiTheme="minorHAnsi" w:hAnsiTheme="minorHAnsi"/>
        </w:rPr>
        <w:t>We are beginning to prepare the</w:t>
      </w:r>
      <w:r w:rsidRPr="00CB137F">
        <w:rPr>
          <w:rFonts w:asciiTheme="minorHAnsi" w:hAnsiTheme="minorHAnsi"/>
          <w:i/>
        </w:rPr>
        <w:t xml:space="preserve"> </w:t>
      </w:r>
      <w:r w:rsidRPr="00CB137F">
        <w:rPr>
          <w:rFonts w:asciiTheme="minorHAnsi" w:hAnsiTheme="minorHAnsi"/>
          <w:b/>
          <w:i/>
        </w:rPr>
        <w:t>201</w:t>
      </w:r>
      <w:r w:rsidR="00AA0FD6" w:rsidRPr="00CB137F">
        <w:rPr>
          <w:rFonts w:asciiTheme="minorHAnsi" w:hAnsiTheme="minorHAnsi"/>
          <w:b/>
          <w:i/>
        </w:rPr>
        <w:t>7</w:t>
      </w:r>
      <w:r w:rsidRPr="00CB137F">
        <w:rPr>
          <w:rFonts w:asciiTheme="minorHAnsi" w:hAnsiTheme="minorHAnsi"/>
          <w:b/>
        </w:rPr>
        <w:t xml:space="preserve"> </w:t>
      </w:r>
      <w:r w:rsidRPr="00CB137F">
        <w:rPr>
          <w:rFonts w:asciiTheme="minorHAnsi" w:hAnsiTheme="minorHAnsi"/>
          <w:b/>
          <w:i/>
        </w:rPr>
        <w:t>Texas Judicial System Annual Statistical Report</w:t>
      </w:r>
      <w:r w:rsidR="00AA0FD6" w:rsidRPr="00CB137F">
        <w:rPr>
          <w:rFonts w:asciiTheme="minorHAnsi" w:hAnsiTheme="minorHAnsi"/>
        </w:rPr>
        <w:t xml:space="preserve"> (covering September 1, 2016</w:t>
      </w:r>
      <w:r w:rsidRPr="00CB137F">
        <w:rPr>
          <w:rFonts w:asciiTheme="minorHAnsi" w:hAnsiTheme="minorHAnsi"/>
        </w:rPr>
        <w:t xml:space="preserve"> to August 31, 201</w:t>
      </w:r>
      <w:r w:rsidR="00AA0FD6" w:rsidRPr="00CB137F">
        <w:rPr>
          <w:rFonts w:asciiTheme="minorHAnsi" w:hAnsiTheme="minorHAnsi"/>
        </w:rPr>
        <w:t>7</w:t>
      </w:r>
      <w:r w:rsidRPr="00CB137F">
        <w:rPr>
          <w:rFonts w:asciiTheme="minorHAnsi" w:hAnsiTheme="minorHAnsi"/>
        </w:rPr>
        <w:t xml:space="preserve">). </w:t>
      </w:r>
      <w:r w:rsidR="00AA0FD6" w:rsidRPr="00CB137F">
        <w:rPr>
          <w:rFonts w:asciiTheme="minorHAnsi" w:hAnsiTheme="minorHAnsi"/>
        </w:rPr>
        <w:t xml:space="preserve"> </w:t>
      </w:r>
      <w:r w:rsidR="0001261A" w:rsidRPr="00CB137F">
        <w:rPr>
          <w:rFonts w:asciiTheme="minorHAnsi" w:hAnsiTheme="minorHAnsi"/>
        </w:rPr>
        <w:t xml:space="preserve"> </w:t>
      </w:r>
      <w:r w:rsidR="00B93866" w:rsidRPr="00CB137F">
        <w:rPr>
          <w:rFonts w:asciiTheme="minorHAnsi" w:hAnsiTheme="minorHAnsi"/>
        </w:rPr>
        <w:t>On our website at</w:t>
      </w:r>
      <w:r w:rsidR="002924E8" w:rsidRPr="00CB137F">
        <w:rPr>
          <w:rFonts w:asciiTheme="minorHAnsi" w:hAnsiTheme="minorHAnsi"/>
        </w:rPr>
        <w:t xml:space="preserve"> </w:t>
      </w:r>
      <w:hyperlink r:id="rId9" w:history="1">
        <w:r w:rsidR="00A348A7" w:rsidRPr="005478FB">
          <w:rPr>
            <w:rStyle w:val="Hyperlink"/>
            <w:rFonts w:asciiTheme="minorHAnsi" w:hAnsiTheme="minorHAnsi"/>
          </w:rPr>
          <w:t>http://www.txcourts.gov/reporting-to-oca/judicial-council-trial-court-activity-reports/district-county-fy-2017-annual-report-verification/</w:t>
        </w:r>
      </w:hyperlink>
      <w:r w:rsidR="00A348A7">
        <w:rPr>
          <w:rFonts w:asciiTheme="minorHAnsi" w:hAnsiTheme="minorHAnsi"/>
        </w:rPr>
        <w:t xml:space="preserve"> </w:t>
      </w:r>
      <w:r w:rsidR="002924E8" w:rsidRPr="00CB137F">
        <w:rPr>
          <w:rFonts w:asciiTheme="minorHAnsi" w:hAnsiTheme="minorHAnsi"/>
        </w:rPr>
        <w:t xml:space="preserve">you will find </w:t>
      </w:r>
      <w:r w:rsidR="006C3FBE" w:rsidRPr="00CB137F">
        <w:rPr>
          <w:rFonts w:asciiTheme="minorHAnsi" w:hAnsiTheme="minorHAnsi"/>
        </w:rPr>
        <w:t xml:space="preserve">information and procedures </w:t>
      </w:r>
      <w:r w:rsidR="002924E8" w:rsidRPr="00CB137F">
        <w:rPr>
          <w:rFonts w:asciiTheme="minorHAnsi" w:hAnsiTheme="minorHAnsi"/>
        </w:rPr>
        <w:t>needed to:</w:t>
      </w:r>
    </w:p>
    <w:p w14:paraId="5DDDBF41" w14:textId="77777777" w:rsidR="002924E8" w:rsidRPr="00CB137F" w:rsidRDefault="002924E8" w:rsidP="002924E8">
      <w:pPr>
        <w:jc w:val="both"/>
        <w:outlineLvl w:val="0"/>
        <w:rPr>
          <w:rFonts w:asciiTheme="minorHAnsi" w:hAnsiTheme="minorHAnsi"/>
        </w:rPr>
      </w:pPr>
    </w:p>
    <w:p w14:paraId="1EFF0ED6" w14:textId="77777777" w:rsidR="00A57719" w:rsidRPr="00CB137F" w:rsidRDefault="00A57719" w:rsidP="00CB137F">
      <w:pPr>
        <w:pStyle w:val="ListParagraph"/>
        <w:numPr>
          <w:ilvl w:val="0"/>
          <w:numId w:val="37"/>
        </w:numPr>
        <w:ind w:left="360"/>
        <w:jc w:val="both"/>
        <w:outlineLvl w:val="0"/>
        <w:rPr>
          <w:rFonts w:asciiTheme="minorHAnsi" w:hAnsiTheme="minorHAnsi"/>
          <w:sz w:val="20"/>
        </w:rPr>
      </w:pPr>
      <w:r w:rsidRPr="00CB137F">
        <w:rPr>
          <w:rFonts w:asciiTheme="minorHAnsi" w:hAnsiTheme="minorHAnsi"/>
          <w:b/>
          <w:sz w:val="20"/>
        </w:rPr>
        <w:t>Print a copy of the report</w:t>
      </w:r>
      <w:r w:rsidRPr="00CB137F">
        <w:rPr>
          <w:rFonts w:asciiTheme="minorHAnsi" w:hAnsiTheme="minorHAnsi"/>
          <w:sz w:val="20"/>
        </w:rPr>
        <w:t xml:space="preserve"> summarizing the data we have received from your county for</w:t>
      </w:r>
      <w:r w:rsidR="008161AA" w:rsidRPr="00CB137F">
        <w:rPr>
          <w:rFonts w:asciiTheme="minorHAnsi" w:hAnsiTheme="minorHAnsi"/>
          <w:sz w:val="20"/>
        </w:rPr>
        <w:t xml:space="preserve"> the</w:t>
      </w:r>
      <w:r w:rsidRPr="00CB137F">
        <w:rPr>
          <w:rFonts w:asciiTheme="minorHAnsi" w:hAnsiTheme="minorHAnsi"/>
          <w:sz w:val="20"/>
        </w:rPr>
        <w:t xml:space="preserve"> </w:t>
      </w:r>
      <w:proofErr w:type="gramStart"/>
      <w:r w:rsidRPr="00CB137F">
        <w:rPr>
          <w:rFonts w:asciiTheme="minorHAnsi" w:hAnsiTheme="minorHAnsi"/>
          <w:sz w:val="20"/>
        </w:rPr>
        <w:t>time period</w:t>
      </w:r>
      <w:proofErr w:type="gramEnd"/>
      <w:r w:rsidRPr="00CB137F">
        <w:rPr>
          <w:rFonts w:asciiTheme="minorHAnsi" w:hAnsiTheme="minorHAnsi"/>
          <w:sz w:val="20"/>
        </w:rPr>
        <w:t>, as well as reports summarizing the data reported by court, if relevant.</w:t>
      </w:r>
      <w:r w:rsidR="008161AA" w:rsidRPr="00CB137F">
        <w:rPr>
          <w:rFonts w:asciiTheme="minorHAnsi" w:hAnsiTheme="minorHAnsi"/>
          <w:sz w:val="20"/>
        </w:rPr>
        <w:t xml:space="preserve">  </w:t>
      </w:r>
    </w:p>
    <w:p w14:paraId="39E8E2A3" w14:textId="77777777" w:rsidR="00A57719" w:rsidRPr="00CB137F" w:rsidRDefault="00A57719" w:rsidP="00A57719">
      <w:pPr>
        <w:pStyle w:val="ListParagraph"/>
        <w:jc w:val="both"/>
        <w:outlineLvl w:val="0"/>
        <w:rPr>
          <w:rFonts w:asciiTheme="minorHAnsi" w:hAnsiTheme="minorHAnsi"/>
          <w:sz w:val="20"/>
        </w:rPr>
      </w:pPr>
    </w:p>
    <w:p w14:paraId="364B5837" w14:textId="77777777" w:rsidR="008161AA" w:rsidRDefault="002924E8" w:rsidP="008161AA">
      <w:pPr>
        <w:pStyle w:val="ListParagraph"/>
        <w:numPr>
          <w:ilvl w:val="0"/>
          <w:numId w:val="37"/>
        </w:numPr>
        <w:ind w:left="360"/>
        <w:jc w:val="both"/>
        <w:outlineLvl w:val="0"/>
        <w:rPr>
          <w:rFonts w:asciiTheme="minorHAnsi" w:hAnsiTheme="minorHAnsi"/>
          <w:sz w:val="20"/>
        </w:rPr>
      </w:pPr>
      <w:r w:rsidRPr="00CB137F">
        <w:rPr>
          <w:rFonts w:asciiTheme="minorHAnsi" w:hAnsiTheme="minorHAnsi"/>
          <w:b/>
          <w:sz w:val="20"/>
        </w:rPr>
        <w:t>Run the Reports Received Report</w:t>
      </w:r>
      <w:r w:rsidRPr="00CB137F">
        <w:rPr>
          <w:rFonts w:asciiTheme="minorHAnsi" w:hAnsiTheme="minorHAnsi"/>
          <w:sz w:val="20"/>
        </w:rPr>
        <w:t xml:space="preserve"> to ensure that the reports are complete and do not have mathematical</w:t>
      </w:r>
      <w:r w:rsidR="008161AA" w:rsidRPr="00CB137F">
        <w:rPr>
          <w:rFonts w:asciiTheme="minorHAnsi" w:hAnsiTheme="minorHAnsi"/>
          <w:sz w:val="20"/>
        </w:rPr>
        <w:t xml:space="preserve"> or any other errors and that all reports/sections have been received for each month.  </w:t>
      </w:r>
      <w:r w:rsidRPr="00CB137F">
        <w:rPr>
          <w:rFonts w:asciiTheme="minorHAnsi" w:hAnsiTheme="minorHAnsi"/>
          <w:sz w:val="20"/>
        </w:rPr>
        <w:t xml:space="preserve"> </w:t>
      </w:r>
    </w:p>
    <w:p w14:paraId="0383F706" w14:textId="77777777" w:rsidR="00CB137F" w:rsidRPr="00CB137F" w:rsidRDefault="00CB137F" w:rsidP="00CB137F">
      <w:pPr>
        <w:jc w:val="both"/>
        <w:outlineLvl w:val="0"/>
        <w:rPr>
          <w:rFonts w:asciiTheme="minorHAnsi" w:hAnsiTheme="minorHAnsi"/>
        </w:rPr>
      </w:pPr>
    </w:p>
    <w:p w14:paraId="78A847C4" w14:textId="77777777" w:rsidR="008161AA" w:rsidRPr="00CB137F" w:rsidRDefault="00CB137F" w:rsidP="00CB137F">
      <w:pPr>
        <w:pStyle w:val="ListParagraph"/>
        <w:numPr>
          <w:ilvl w:val="0"/>
          <w:numId w:val="37"/>
        </w:numPr>
        <w:ind w:left="360"/>
        <w:jc w:val="both"/>
        <w:outlineLvl w:val="0"/>
        <w:rPr>
          <w:rFonts w:asciiTheme="minorHAnsi" w:hAnsiTheme="minorHAnsi"/>
          <w:sz w:val="20"/>
        </w:rPr>
      </w:pPr>
      <w:r w:rsidRPr="00CB137F">
        <w:rPr>
          <w:rFonts w:asciiTheme="minorHAnsi" w:hAnsiTheme="minorHAnsi"/>
          <w:b/>
          <w:sz w:val="20"/>
        </w:rPr>
        <w:t>R</w:t>
      </w:r>
      <w:r w:rsidR="008161AA" w:rsidRPr="00CB137F">
        <w:rPr>
          <w:rFonts w:asciiTheme="minorHAnsi" w:hAnsiTheme="minorHAnsi"/>
          <w:b/>
          <w:sz w:val="20"/>
        </w:rPr>
        <w:t>eview the reports for other errors</w:t>
      </w:r>
      <w:r w:rsidR="008161AA" w:rsidRPr="00CB137F">
        <w:rPr>
          <w:rFonts w:asciiTheme="minorHAnsi" w:hAnsiTheme="minorHAnsi"/>
          <w:sz w:val="20"/>
        </w:rPr>
        <w:t xml:space="preserve"> such as filings, docket adjustments or pending case numbers that are too low, too high, or that do not make sense.  </w:t>
      </w:r>
      <w:r w:rsidR="006C3FBE" w:rsidRPr="00CB137F">
        <w:rPr>
          <w:rFonts w:asciiTheme="minorHAnsi" w:hAnsiTheme="minorHAnsi"/>
          <w:sz w:val="20"/>
        </w:rPr>
        <w:t xml:space="preserve">Refer to document </w:t>
      </w:r>
      <w:r w:rsidR="006C3FBE" w:rsidRPr="00CB137F">
        <w:rPr>
          <w:rFonts w:asciiTheme="minorHAnsi" w:hAnsiTheme="minorHAnsi"/>
          <w:b/>
          <w:sz w:val="20"/>
        </w:rPr>
        <w:t>Common Report Issues</w:t>
      </w:r>
      <w:r w:rsidR="006C3FBE" w:rsidRPr="00CB137F">
        <w:rPr>
          <w:rFonts w:asciiTheme="minorHAnsi" w:hAnsiTheme="minorHAnsi"/>
          <w:sz w:val="20"/>
        </w:rPr>
        <w:t xml:space="preserve"> on the website above.  </w:t>
      </w:r>
      <w:r w:rsidR="008161AA" w:rsidRPr="00CB137F">
        <w:rPr>
          <w:rFonts w:asciiTheme="minorHAnsi" w:hAnsiTheme="minorHAnsi"/>
          <w:sz w:val="20"/>
        </w:rPr>
        <w:t>Note that you can prevent errors from occurring by reviewing your report each month, especially if you are uploading the report.</w:t>
      </w:r>
      <w:r w:rsidR="006C3FBE" w:rsidRPr="00CB137F">
        <w:rPr>
          <w:rFonts w:asciiTheme="minorHAnsi" w:hAnsiTheme="minorHAnsi"/>
          <w:sz w:val="20"/>
        </w:rPr>
        <w:t xml:space="preserve">  </w:t>
      </w:r>
    </w:p>
    <w:p w14:paraId="6AD618F2" w14:textId="77777777" w:rsidR="006C3FBE" w:rsidRPr="00CB137F" w:rsidRDefault="006C3FBE" w:rsidP="006C3FBE">
      <w:pPr>
        <w:pStyle w:val="ListParagraph"/>
        <w:rPr>
          <w:rFonts w:asciiTheme="minorHAnsi" w:hAnsiTheme="minorHAnsi"/>
          <w:sz w:val="20"/>
        </w:rPr>
      </w:pPr>
    </w:p>
    <w:p w14:paraId="3287E7BD" w14:textId="77777777" w:rsidR="006C3FBE" w:rsidRPr="00CB137F" w:rsidRDefault="006C3FBE" w:rsidP="00CB137F">
      <w:pPr>
        <w:pStyle w:val="ListParagraph"/>
        <w:numPr>
          <w:ilvl w:val="0"/>
          <w:numId w:val="37"/>
        </w:numPr>
        <w:ind w:left="360"/>
        <w:jc w:val="both"/>
        <w:rPr>
          <w:rFonts w:asciiTheme="minorHAnsi" w:hAnsiTheme="minorHAnsi"/>
          <w:sz w:val="20"/>
        </w:rPr>
      </w:pPr>
      <w:r w:rsidRPr="00CB137F">
        <w:rPr>
          <w:rFonts w:asciiTheme="minorHAnsi" w:hAnsiTheme="minorHAnsi"/>
          <w:b/>
          <w:sz w:val="20"/>
        </w:rPr>
        <w:t>Submit missing reports and make all necessary</w:t>
      </w:r>
      <w:r w:rsidRPr="00CB137F">
        <w:rPr>
          <w:rFonts w:asciiTheme="minorHAnsi" w:hAnsiTheme="minorHAnsi"/>
          <w:sz w:val="20"/>
        </w:rPr>
        <w:t xml:space="preserve"> corrections </w:t>
      </w:r>
      <w:r w:rsidR="008161AA" w:rsidRPr="00CB137F">
        <w:rPr>
          <w:rFonts w:asciiTheme="minorHAnsi" w:hAnsiTheme="minorHAnsi"/>
          <w:sz w:val="20"/>
        </w:rPr>
        <w:t xml:space="preserve">through the online Court Activity Reporting and Directory System at </w:t>
      </w:r>
      <w:hyperlink r:id="rId10" w:history="1">
        <w:r w:rsidR="008161AA" w:rsidRPr="00CB137F">
          <w:rPr>
            <w:rStyle w:val="Hyperlink"/>
            <w:rFonts w:asciiTheme="minorHAnsi" w:hAnsiTheme="minorHAnsi"/>
            <w:sz w:val="20"/>
          </w:rPr>
          <w:t>http://card.txcourts.gov/</w:t>
        </w:r>
      </w:hyperlink>
      <w:r w:rsidRPr="00CB137F">
        <w:rPr>
          <w:rFonts w:asciiTheme="minorHAnsi" w:hAnsiTheme="minorHAnsi"/>
          <w:sz w:val="20"/>
        </w:rPr>
        <w:t xml:space="preserve"> </w:t>
      </w:r>
      <w:r w:rsidRPr="00CB137F">
        <w:rPr>
          <w:rFonts w:asciiTheme="minorHAnsi" w:hAnsiTheme="minorHAnsi"/>
          <w:b/>
          <w:sz w:val="20"/>
        </w:rPr>
        <w:t>by November 1, 2017.</w:t>
      </w:r>
    </w:p>
    <w:p w14:paraId="22D1FFD3" w14:textId="77777777" w:rsidR="006C3FBE" w:rsidRPr="00CB137F" w:rsidRDefault="006C3FBE" w:rsidP="006C3FBE">
      <w:pPr>
        <w:pStyle w:val="ListParagraph"/>
        <w:rPr>
          <w:rFonts w:asciiTheme="minorHAnsi" w:hAnsiTheme="minorHAnsi"/>
          <w:b/>
          <w:sz w:val="20"/>
        </w:rPr>
      </w:pPr>
      <w:bookmarkStart w:id="0" w:name="_GoBack"/>
      <w:bookmarkEnd w:id="0"/>
    </w:p>
    <w:p w14:paraId="6D500409" w14:textId="77777777" w:rsidR="008161AA" w:rsidRPr="00CB137F" w:rsidRDefault="008161AA" w:rsidP="00CB137F">
      <w:pPr>
        <w:pStyle w:val="ListParagraph"/>
        <w:ind w:left="360"/>
        <w:jc w:val="both"/>
        <w:rPr>
          <w:rFonts w:asciiTheme="minorHAnsi" w:hAnsiTheme="minorHAnsi"/>
          <w:sz w:val="20"/>
        </w:rPr>
      </w:pPr>
      <w:r w:rsidRPr="00CB137F">
        <w:rPr>
          <w:rFonts w:asciiTheme="minorHAnsi" w:hAnsiTheme="minorHAnsi"/>
          <w:b/>
          <w:sz w:val="20"/>
        </w:rPr>
        <w:t xml:space="preserve">You must update the reports for </w:t>
      </w:r>
      <w:r w:rsidRPr="00CB137F">
        <w:rPr>
          <w:rFonts w:asciiTheme="minorHAnsi" w:hAnsiTheme="minorHAnsi"/>
          <w:b/>
          <w:sz w:val="20"/>
          <w:u w:val="single"/>
        </w:rPr>
        <w:t xml:space="preserve">each </w:t>
      </w:r>
      <w:r w:rsidRPr="00CB137F">
        <w:rPr>
          <w:rFonts w:asciiTheme="minorHAnsi" w:hAnsiTheme="minorHAnsi"/>
          <w:b/>
          <w:sz w:val="20"/>
        </w:rPr>
        <w:t xml:space="preserve">month in which a correction is needed. </w:t>
      </w:r>
      <w:r w:rsidRPr="00CB137F">
        <w:rPr>
          <w:rFonts w:asciiTheme="minorHAnsi" w:hAnsiTheme="minorHAnsi"/>
          <w:sz w:val="20"/>
        </w:rPr>
        <w:t xml:space="preserve">Corrections cannot be made to the annual totals.  </w:t>
      </w:r>
      <w:r w:rsidR="006C3FBE" w:rsidRPr="00CB137F">
        <w:rPr>
          <w:rFonts w:asciiTheme="minorHAnsi" w:hAnsiTheme="minorHAnsi"/>
          <w:sz w:val="20"/>
        </w:rPr>
        <w:t>Refer to the document on Correcting Reports.</w:t>
      </w:r>
    </w:p>
    <w:p w14:paraId="31B7CAED" w14:textId="77777777" w:rsidR="006C3FBE" w:rsidRPr="00CB137F" w:rsidRDefault="006C3FBE" w:rsidP="006C3FBE">
      <w:pPr>
        <w:pStyle w:val="ListParagraph"/>
        <w:rPr>
          <w:rFonts w:asciiTheme="minorHAnsi" w:hAnsiTheme="minorHAnsi"/>
          <w:sz w:val="20"/>
        </w:rPr>
      </w:pPr>
    </w:p>
    <w:p w14:paraId="7C628728" w14:textId="3095B91B" w:rsidR="00A77684" w:rsidRPr="00A77684" w:rsidRDefault="006C3FBE" w:rsidP="00A348A7">
      <w:pPr>
        <w:pStyle w:val="ListParagraph"/>
        <w:numPr>
          <w:ilvl w:val="0"/>
          <w:numId w:val="37"/>
        </w:numPr>
        <w:ind w:left="360"/>
        <w:jc w:val="both"/>
        <w:outlineLvl w:val="0"/>
        <w:rPr>
          <w:rFonts w:asciiTheme="minorHAnsi" w:hAnsiTheme="minorHAnsi"/>
        </w:rPr>
      </w:pPr>
      <w:r w:rsidRPr="00A77684">
        <w:rPr>
          <w:rFonts w:asciiTheme="minorHAnsi" w:hAnsiTheme="minorHAnsi"/>
          <w:sz w:val="20"/>
        </w:rPr>
        <w:t>Certify that all reports are</w:t>
      </w:r>
      <w:r w:rsidR="001E4B86" w:rsidRPr="00A77684">
        <w:rPr>
          <w:rFonts w:asciiTheme="minorHAnsi" w:hAnsiTheme="minorHAnsi"/>
          <w:sz w:val="20"/>
        </w:rPr>
        <w:t xml:space="preserve"> correct and complete at</w:t>
      </w:r>
      <w:r w:rsidR="00A348A7">
        <w:rPr>
          <w:rFonts w:asciiTheme="minorHAnsi" w:hAnsiTheme="minorHAnsi"/>
          <w:sz w:val="20"/>
        </w:rPr>
        <w:t xml:space="preserve"> </w:t>
      </w:r>
      <w:hyperlink r:id="rId11" w:history="1">
        <w:r w:rsidR="00A348A7" w:rsidRPr="005478FB">
          <w:rPr>
            <w:rStyle w:val="Hyperlink"/>
            <w:rFonts w:asciiTheme="minorHAnsi" w:hAnsiTheme="minorHAnsi"/>
            <w:sz w:val="20"/>
          </w:rPr>
          <w:t>https://www.surveymonkey.com/r/districtcountyannualreportverification</w:t>
        </w:r>
      </w:hyperlink>
      <w:r w:rsidR="00A348A7">
        <w:rPr>
          <w:rFonts w:asciiTheme="minorHAnsi" w:hAnsiTheme="minorHAnsi"/>
          <w:sz w:val="20"/>
        </w:rPr>
        <w:t xml:space="preserve">. </w:t>
      </w:r>
    </w:p>
    <w:p w14:paraId="16C70578" w14:textId="590DAAE9" w:rsidR="00F276E8" w:rsidRPr="00A77684" w:rsidRDefault="00A77684" w:rsidP="00A77684">
      <w:pPr>
        <w:pStyle w:val="ListParagraph"/>
        <w:jc w:val="both"/>
        <w:outlineLvl w:val="0"/>
        <w:rPr>
          <w:rFonts w:asciiTheme="minorHAnsi" w:hAnsiTheme="minorHAnsi"/>
        </w:rPr>
      </w:pPr>
      <w:r>
        <w:rPr>
          <w:rFonts w:asciiTheme="minorHAnsi" w:hAnsiTheme="minorHAnsi"/>
          <w:sz w:val="20"/>
        </w:rPr>
        <w:t xml:space="preserve"> </w:t>
      </w:r>
    </w:p>
    <w:p w14:paraId="6C2989F5" w14:textId="77777777" w:rsidR="00F276E8" w:rsidRPr="00CB137F" w:rsidRDefault="00F276E8" w:rsidP="00F276E8">
      <w:pPr>
        <w:jc w:val="both"/>
        <w:outlineLvl w:val="0"/>
        <w:rPr>
          <w:rFonts w:asciiTheme="minorHAnsi" w:hAnsiTheme="minorHAnsi"/>
          <w:b/>
          <w:i/>
        </w:rPr>
      </w:pPr>
      <w:r w:rsidRPr="00CB137F">
        <w:rPr>
          <w:rFonts w:asciiTheme="minorHAnsi" w:hAnsiTheme="minorHAnsi"/>
          <w:b/>
          <w:i/>
        </w:rPr>
        <w:t>Effect of Late Reporting on Funds Granted by the Texas Indigent Defense Commission</w:t>
      </w:r>
    </w:p>
    <w:p w14:paraId="109E7325" w14:textId="77777777" w:rsidR="00F276E8" w:rsidRPr="00CB137F" w:rsidRDefault="00F276E8" w:rsidP="00F276E8">
      <w:pPr>
        <w:jc w:val="center"/>
        <w:rPr>
          <w:rFonts w:asciiTheme="minorHAnsi" w:hAnsiTheme="minorHAnsi"/>
        </w:rPr>
      </w:pPr>
    </w:p>
    <w:p w14:paraId="29B3FEBA" w14:textId="77777777" w:rsidR="00F276E8" w:rsidRPr="00CB137F" w:rsidRDefault="00F276E8" w:rsidP="00F276E8">
      <w:pPr>
        <w:jc w:val="both"/>
        <w:rPr>
          <w:rFonts w:asciiTheme="minorHAnsi" w:hAnsiTheme="minorHAnsi"/>
        </w:rPr>
      </w:pPr>
      <w:r w:rsidRPr="00CB137F">
        <w:rPr>
          <w:rFonts w:asciiTheme="minorHAnsi" w:hAnsiTheme="minorHAnsi"/>
        </w:rPr>
        <w:t>The Texas Indigent Defense Commission’s (TIDC) grant conditions state, “</w:t>
      </w:r>
      <w:r w:rsidRPr="00CB137F">
        <w:rPr>
          <w:rFonts w:asciiTheme="minorHAnsi" w:hAnsiTheme="minorHAnsi"/>
          <w:i/>
        </w:rPr>
        <w:t xml:space="preserve">The applicants’ county and district clerks must </w:t>
      </w:r>
      <w:proofErr w:type="gramStart"/>
      <w:r w:rsidRPr="00CB137F">
        <w:rPr>
          <w:rFonts w:asciiTheme="minorHAnsi" w:hAnsiTheme="minorHAnsi"/>
          <w:i/>
        </w:rPr>
        <w:t>be in compliance with</w:t>
      </w:r>
      <w:proofErr w:type="gramEnd"/>
      <w:r w:rsidRPr="00CB137F">
        <w:rPr>
          <w:rFonts w:asciiTheme="minorHAnsi" w:hAnsiTheme="minorHAnsi"/>
          <w:i/>
        </w:rPr>
        <w:t xml:space="preserve"> reporting requirements promulgated by the Texas Judicial Council as of August 31, 201</w:t>
      </w:r>
      <w:r w:rsidR="00CB137F">
        <w:rPr>
          <w:rFonts w:asciiTheme="minorHAnsi" w:hAnsiTheme="minorHAnsi"/>
          <w:i/>
        </w:rPr>
        <w:t>7</w:t>
      </w:r>
      <w:r w:rsidRPr="00CB137F">
        <w:rPr>
          <w:rFonts w:asciiTheme="minorHAnsi" w:hAnsiTheme="minorHAnsi"/>
          <w:i/>
        </w:rPr>
        <w:t xml:space="preserve">.” </w:t>
      </w:r>
      <w:r w:rsidRPr="00CB137F">
        <w:rPr>
          <w:rFonts w:asciiTheme="minorHAnsi" w:hAnsiTheme="minorHAnsi"/>
        </w:rPr>
        <w:t xml:space="preserve">As a result, </w:t>
      </w:r>
      <w:r w:rsidRPr="00CB137F">
        <w:rPr>
          <w:rFonts w:asciiTheme="minorHAnsi" w:hAnsiTheme="minorHAnsi"/>
          <w:b/>
        </w:rPr>
        <w:t>grant funds will be withheld</w:t>
      </w:r>
      <w:r w:rsidRPr="00CB137F">
        <w:rPr>
          <w:rFonts w:asciiTheme="minorHAnsi" w:hAnsiTheme="minorHAnsi"/>
        </w:rPr>
        <w:t xml:space="preserve"> from counties that have not submitted complete district court and county-level court activity reports for FY 201</w:t>
      </w:r>
      <w:r w:rsidR="00CB137F">
        <w:rPr>
          <w:rFonts w:asciiTheme="minorHAnsi" w:hAnsiTheme="minorHAnsi"/>
        </w:rPr>
        <w:t>7</w:t>
      </w:r>
      <w:r w:rsidRPr="00CB137F">
        <w:rPr>
          <w:rFonts w:asciiTheme="minorHAnsi" w:hAnsiTheme="minorHAnsi"/>
        </w:rPr>
        <w:t xml:space="preserve">. </w:t>
      </w:r>
    </w:p>
    <w:p w14:paraId="793FE674" w14:textId="77777777" w:rsidR="00F276E8" w:rsidRPr="00CB137F" w:rsidRDefault="00F276E8" w:rsidP="00F276E8">
      <w:pPr>
        <w:jc w:val="both"/>
        <w:rPr>
          <w:rFonts w:asciiTheme="minorHAnsi" w:hAnsiTheme="minorHAnsi"/>
          <w:i/>
        </w:rPr>
      </w:pPr>
    </w:p>
    <w:p w14:paraId="2378FBE2" w14:textId="77777777" w:rsidR="00F276E8" w:rsidRPr="00CB137F" w:rsidRDefault="00F276E8" w:rsidP="00F276E8">
      <w:pPr>
        <w:jc w:val="both"/>
        <w:rPr>
          <w:rFonts w:asciiTheme="minorHAnsi" w:hAnsiTheme="minorHAnsi"/>
          <w:b/>
        </w:rPr>
      </w:pPr>
      <w:r w:rsidRPr="00CB137F">
        <w:rPr>
          <w:rFonts w:asciiTheme="minorHAnsi" w:hAnsiTheme="minorHAnsi"/>
        </w:rPr>
        <w:t xml:space="preserve">We have been asked to notify the County Judge and Local Administrative District Judge in October about any outstanding reports. If missing reports are not submitted by November, all members of the </w:t>
      </w:r>
      <w:proofErr w:type="gramStart"/>
      <w:r w:rsidRPr="00CB137F">
        <w:rPr>
          <w:rFonts w:asciiTheme="minorHAnsi" w:hAnsiTheme="minorHAnsi"/>
        </w:rPr>
        <w:t>commissioners</w:t>
      </w:r>
      <w:proofErr w:type="gramEnd"/>
      <w:r w:rsidRPr="00CB137F">
        <w:rPr>
          <w:rFonts w:asciiTheme="minorHAnsi" w:hAnsiTheme="minorHAnsi"/>
        </w:rPr>
        <w:t xml:space="preserve"> court will be notified as well, in anticipation of the notification from TIDC that the county’s grant funds will be withheld until the county is in compliance.</w:t>
      </w:r>
    </w:p>
    <w:p w14:paraId="7363DDCC" w14:textId="77777777" w:rsidR="00F276E8" w:rsidRPr="00CB137F" w:rsidRDefault="00F276E8" w:rsidP="00F276E8">
      <w:pPr>
        <w:jc w:val="both"/>
        <w:rPr>
          <w:rFonts w:asciiTheme="minorHAnsi" w:hAnsiTheme="minorHAnsi"/>
        </w:rPr>
      </w:pPr>
    </w:p>
    <w:p w14:paraId="5940CD00" w14:textId="77777777" w:rsidR="00F276E8" w:rsidRPr="00CB137F" w:rsidRDefault="00F276E8" w:rsidP="00F276E8">
      <w:pPr>
        <w:jc w:val="both"/>
        <w:rPr>
          <w:rFonts w:asciiTheme="minorHAnsi" w:hAnsiTheme="minorHAnsi"/>
        </w:rPr>
      </w:pPr>
      <w:r w:rsidRPr="00CB137F">
        <w:rPr>
          <w:rFonts w:asciiTheme="minorHAnsi" w:hAnsiTheme="minorHAnsi"/>
        </w:rPr>
        <w:t xml:space="preserve">If you have any questions or need assistance, please call us at (512) 463-1625 or send an email to </w:t>
      </w:r>
      <w:hyperlink r:id="rId12" w:history="1">
        <w:r w:rsidRPr="00CB137F">
          <w:rPr>
            <w:rStyle w:val="Hyperlink"/>
            <w:rFonts w:asciiTheme="minorHAnsi" w:hAnsiTheme="minorHAnsi"/>
          </w:rPr>
          <w:t>JudInfo@txcourts.gov</w:t>
        </w:r>
      </w:hyperlink>
      <w:r w:rsidRPr="00CB137F">
        <w:rPr>
          <w:rFonts w:asciiTheme="minorHAnsi" w:hAnsiTheme="minorHAnsi"/>
        </w:rPr>
        <w:t>.</w:t>
      </w:r>
    </w:p>
    <w:p w14:paraId="26055670" w14:textId="77777777" w:rsidR="00F276E8" w:rsidRPr="00CB137F" w:rsidRDefault="00F276E8" w:rsidP="00F276E8">
      <w:pPr>
        <w:jc w:val="both"/>
        <w:rPr>
          <w:rFonts w:asciiTheme="minorHAnsi" w:hAnsiTheme="minorHAnsi"/>
        </w:rPr>
      </w:pPr>
    </w:p>
    <w:p w14:paraId="35D1CD92" w14:textId="77777777" w:rsidR="00F276E8" w:rsidRPr="00CB137F" w:rsidRDefault="00F276E8" w:rsidP="00F276E8">
      <w:pPr>
        <w:jc w:val="both"/>
        <w:rPr>
          <w:rFonts w:asciiTheme="minorHAnsi" w:hAnsiTheme="minorHAnsi"/>
        </w:rPr>
      </w:pPr>
      <w:r w:rsidRPr="00CB137F">
        <w:rPr>
          <w:rFonts w:asciiTheme="minorHAnsi" w:hAnsiTheme="minorHAnsi"/>
        </w:rPr>
        <w:t>Thank you for helping us to provide the public with complete and accurate court activity information.</w:t>
      </w:r>
    </w:p>
    <w:p w14:paraId="4CC82D6F" w14:textId="77777777" w:rsidR="00F276E8" w:rsidRPr="00CB137F" w:rsidRDefault="00F276E8" w:rsidP="00F276E8">
      <w:pPr>
        <w:jc w:val="both"/>
        <w:rPr>
          <w:rFonts w:asciiTheme="minorHAnsi" w:hAnsiTheme="minorHAnsi"/>
        </w:rPr>
      </w:pPr>
    </w:p>
    <w:p w14:paraId="3683DB88" w14:textId="77777777" w:rsidR="00F276E8" w:rsidRPr="00CB137F" w:rsidRDefault="00F276E8" w:rsidP="00F276E8">
      <w:pPr>
        <w:jc w:val="both"/>
        <w:rPr>
          <w:rFonts w:asciiTheme="minorHAnsi" w:hAnsiTheme="minorHAnsi"/>
        </w:rPr>
      </w:pPr>
      <w:r w:rsidRPr="00CB137F">
        <w:rPr>
          <w:rFonts w:asciiTheme="minorHAnsi" w:hAnsiTheme="minorHAnsi"/>
        </w:rPr>
        <w:t>Sincerely,</w:t>
      </w:r>
    </w:p>
    <w:p w14:paraId="7B89D2EF" w14:textId="77777777" w:rsidR="00F276E8" w:rsidRPr="00CB137F" w:rsidRDefault="00F276E8" w:rsidP="00F276E8">
      <w:pPr>
        <w:jc w:val="both"/>
        <w:rPr>
          <w:rFonts w:asciiTheme="minorHAnsi" w:hAnsiTheme="minorHAnsi"/>
        </w:rPr>
      </w:pPr>
    </w:p>
    <w:p w14:paraId="716E158E" w14:textId="77777777" w:rsidR="00F276E8" w:rsidRPr="00CB137F" w:rsidRDefault="00F276E8" w:rsidP="00CB137F">
      <w:pPr>
        <w:jc w:val="both"/>
        <w:rPr>
          <w:rFonts w:asciiTheme="minorHAnsi" w:hAnsiTheme="minorHAnsi"/>
          <w:i/>
        </w:rPr>
      </w:pPr>
      <w:r w:rsidRPr="00CB137F">
        <w:rPr>
          <w:rFonts w:asciiTheme="minorHAnsi" w:hAnsiTheme="minorHAnsi"/>
          <w:i/>
        </w:rPr>
        <w:t>Judicial Information Staff:</w:t>
      </w:r>
      <w:r w:rsidR="00CB137F">
        <w:rPr>
          <w:rFonts w:asciiTheme="minorHAnsi" w:hAnsiTheme="minorHAnsi"/>
          <w:i/>
        </w:rPr>
        <w:tab/>
      </w:r>
      <w:r w:rsidR="00CB137F">
        <w:rPr>
          <w:rFonts w:asciiTheme="minorHAnsi" w:hAnsiTheme="minorHAnsi"/>
          <w:i/>
        </w:rPr>
        <w:tab/>
        <w:t>S</w:t>
      </w:r>
      <w:r w:rsidRPr="00CB137F">
        <w:rPr>
          <w:rFonts w:asciiTheme="minorHAnsi" w:hAnsiTheme="minorHAnsi"/>
          <w:i/>
        </w:rPr>
        <w:t>andra Mabbett</w:t>
      </w:r>
    </w:p>
    <w:p w14:paraId="273DD6CF" w14:textId="77777777" w:rsidR="00F276E8" w:rsidRPr="00CB137F" w:rsidRDefault="00F276E8" w:rsidP="00CB137F">
      <w:pPr>
        <w:ind w:left="2160" w:firstLine="720"/>
        <w:jc w:val="both"/>
        <w:rPr>
          <w:rFonts w:asciiTheme="minorHAnsi" w:hAnsiTheme="minorHAnsi"/>
          <w:i/>
        </w:rPr>
      </w:pPr>
      <w:r w:rsidRPr="00CB137F">
        <w:rPr>
          <w:rFonts w:asciiTheme="minorHAnsi" w:hAnsiTheme="minorHAnsi"/>
          <w:i/>
        </w:rPr>
        <w:t>Lisa Robles</w:t>
      </w:r>
    </w:p>
    <w:p w14:paraId="0A667E2C" w14:textId="77777777" w:rsidR="00226DB0" w:rsidRPr="00CB137F" w:rsidRDefault="00226DB0" w:rsidP="00CB137F">
      <w:pPr>
        <w:ind w:left="2160" w:firstLine="720"/>
        <w:jc w:val="both"/>
        <w:rPr>
          <w:rFonts w:asciiTheme="minorHAnsi" w:hAnsiTheme="minorHAnsi"/>
          <w:i/>
        </w:rPr>
      </w:pPr>
      <w:r w:rsidRPr="00CB137F">
        <w:rPr>
          <w:rFonts w:asciiTheme="minorHAnsi" w:hAnsiTheme="minorHAnsi"/>
          <w:i/>
        </w:rPr>
        <w:t xml:space="preserve">Jamal </w:t>
      </w:r>
      <w:proofErr w:type="spellStart"/>
      <w:r w:rsidRPr="00CB137F">
        <w:rPr>
          <w:rFonts w:asciiTheme="minorHAnsi" w:hAnsiTheme="minorHAnsi"/>
          <w:i/>
        </w:rPr>
        <w:t>Kinan</w:t>
      </w:r>
      <w:proofErr w:type="spellEnd"/>
    </w:p>
    <w:p w14:paraId="2579D0C6" w14:textId="725F614C" w:rsidR="00F276E8" w:rsidRPr="00CB137F" w:rsidRDefault="00F276E8" w:rsidP="001E4B86">
      <w:pPr>
        <w:ind w:left="2160" w:firstLine="720"/>
        <w:jc w:val="both"/>
        <w:rPr>
          <w:rFonts w:asciiTheme="minorHAnsi" w:hAnsiTheme="minorHAnsi"/>
          <w:color w:val="000000"/>
        </w:rPr>
      </w:pPr>
      <w:r w:rsidRPr="00CB137F">
        <w:rPr>
          <w:rFonts w:asciiTheme="minorHAnsi" w:hAnsiTheme="minorHAnsi"/>
          <w:i/>
        </w:rPr>
        <w:t>Angela Garcia</w:t>
      </w:r>
    </w:p>
    <w:sectPr w:rsidR="00F276E8" w:rsidRPr="00CB137F" w:rsidSect="00CB137F">
      <w:headerReference w:type="default" r:id="rId13"/>
      <w:footerReference w:type="default" r:id="rId14"/>
      <w:headerReference w:type="first" r:id="rId15"/>
      <w:footerReference w:type="first" r:id="rId16"/>
      <w:type w:val="continuous"/>
      <w:pgSz w:w="12240" w:h="15840" w:code="1"/>
      <w:pgMar w:top="475" w:right="720" w:bottom="360" w:left="720" w:header="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23BF" w14:textId="77777777" w:rsidR="001E4B86" w:rsidRDefault="001E4B86">
      <w:r>
        <w:separator/>
      </w:r>
    </w:p>
  </w:endnote>
  <w:endnote w:type="continuationSeparator" w:id="0">
    <w:p w14:paraId="19F4CD80" w14:textId="77777777" w:rsidR="001E4B86" w:rsidRDefault="001E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77C1" w14:textId="77777777" w:rsidR="001E4B86" w:rsidRDefault="001E4B86" w:rsidP="00AB53D5">
    <w:pPr>
      <w:widowControl/>
      <w:jc w:val="center"/>
      <w:rPr>
        <w:rFonts w:ascii="Arial" w:hAnsi="Arial" w:cs="Arial"/>
        <w:smallCaps/>
        <w:sz w:val="16"/>
        <w:szCs w:val="16"/>
      </w:rPr>
    </w:pPr>
    <w:r>
      <w:rPr>
        <w:rFonts w:ascii="Arial" w:hAnsi="Arial" w:cs="Arial"/>
        <w:smallCaps/>
        <w:sz w:val="16"/>
        <w:szCs w:val="16"/>
      </w:rPr>
      <w:t>205 West 14</w:t>
    </w:r>
    <w:r>
      <w:rPr>
        <w:rFonts w:ascii="Arial" w:hAnsi="Arial" w:cs="Arial"/>
        <w:smallCaps/>
        <w:sz w:val="16"/>
        <w:szCs w:val="16"/>
        <w:vertAlign w:val="superscript"/>
      </w:rPr>
      <w:t>th</w:t>
    </w:r>
    <w:r>
      <w:rPr>
        <w:rFonts w:ascii="Arial" w:hAnsi="Arial" w:cs="Arial"/>
        <w:smallCaps/>
        <w:sz w:val="16"/>
        <w:szCs w:val="16"/>
      </w:rPr>
      <w:t xml:space="preserve"> Street, Suite 600 • Tom C. Clark Building • (512) 463-1625 • FAX (512) 463-1865</w:t>
    </w:r>
  </w:p>
  <w:p w14:paraId="160B0A65" w14:textId="77777777" w:rsidR="001E4B86" w:rsidRDefault="001E4B86" w:rsidP="00AB53D5">
    <w:pPr>
      <w:widowControl/>
      <w:jc w:val="center"/>
      <w:rPr>
        <w:sz w:val="24"/>
        <w:szCs w:val="24"/>
      </w:rPr>
    </w:pPr>
    <w:r>
      <w:rPr>
        <w:rFonts w:ascii="Arial" w:hAnsi="Arial" w:cs="Arial"/>
        <w:smallCaps/>
        <w:sz w:val="16"/>
        <w:szCs w:val="16"/>
      </w:rPr>
      <w:t>P. O. Box 12066, Capitol Station • Austin, Texas 78711-2066</w:t>
    </w:r>
  </w:p>
  <w:p w14:paraId="409A9205" w14:textId="77777777" w:rsidR="001E4B86" w:rsidRPr="00F74D55" w:rsidRDefault="00A348A7" w:rsidP="00AB53D5">
    <w:pPr>
      <w:pStyle w:val="Footer"/>
      <w:jc w:val="center"/>
    </w:pPr>
    <w:hyperlink r:id="rId1" w:history="1">
      <w:r w:rsidR="001E4B86" w:rsidRPr="00D53DC3">
        <w:rPr>
          <w:rStyle w:val="Hyperlink"/>
          <w:rFonts w:ascii="Arial" w:hAnsi="Arial" w:cs="Arial"/>
          <w:sz w:val="16"/>
          <w:szCs w:val="16"/>
        </w:rPr>
        <w:t>http://www.txcourts.gov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59EA" w14:textId="77777777" w:rsidR="001E4B86" w:rsidRDefault="001E4B86" w:rsidP="00CB137F">
    <w:pPr>
      <w:widowControl/>
      <w:jc w:val="center"/>
      <w:rPr>
        <w:rFonts w:ascii="Arial" w:hAnsi="Arial" w:cs="Arial"/>
        <w:smallCaps/>
        <w:sz w:val="16"/>
        <w:szCs w:val="16"/>
      </w:rPr>
    </w:pPr>
    <w:r>
      <w:rPr>
        <w:rFonts w:ascii="Arial" w:hAnsi="Arial" w:cs="Arial"/>
        <w:smallCaps/>
        <w:sz w:val="16"/>
        <w:szCs w:val="16"/>
      </w:rPr>
      <w:t>205 West 14</w:t>
    </w:r>
    <w:r>
      <w:rPr>
        <w:rFonts w:ascii="Arial" w:hAnsi="Arial" w:cs="Arial"/>
        <w:smallCaps/>
        <w:sz w:val="16"/>
        <w:szCs w:val="16"/>
        <w:vertAlign w:val="superscript"/>
      </w:rPr>
      <w:t>th</w:t>
    </w:r>
    <w:r>
      <w:rPr>
        <w:rFonts w:ascii="Arial" w:hAnsi="Arial" w:cs="Arial"/>
        <w:smallCaps/>
        <w:sz w:val="16"/>
        <w:szCs w:val="16"/>
      </w:rPr>
      <w:t xml:space="preserve"> Street, Suite 600 • Tom C. Clark Building • (512) 463-1625 • FAX (512) 463-1865</w:t>
    </w:r>
  </w:p>
  <w:p w14:paraId="485C4265" w14:textId="77777777" w:rsidR="001E4B86" w:rsidRDefault="001E4B86" w:rsidP="00CB137F">
    <w:pPr>
      <w:widowControl/>
      <w:jc w:val="center"/>
      <w:rPr>
        <w:sz w:val="24"/>
        <w:szCs w:val="24"/>
      </w:rPr>
    </w:pPr>
    <w:r>
      <w:rPr>
        <w:rFonts w:ascii="Arial" w:hAnsi="Arial" w:cs="Arial"/>
        <w:smallCaps/>
        <w:sz w:val="16"/>
        <w:szCs w:val="16"/>
      </w:rPr>
      <w:t>P. O. Box 12066, Capitol Station • Austin, Texas 78711-2066</w:t>
    </w:r>
  </w:p>
  <w:p w14:paraId="166BF51C" w14:textId="77777777" w:rsidR="001E4B86" w:rsidRPr="00F74D55" w:rsidRDefault="00A348A7" w:rsidP="00CB137F">
    <w:pPr>
      <w:pStyle w:val="Footer"/>
      <w:jc w:val="center"/>
    </w:pPr>
    <w:hyperlink r:id="rId1" w:history="1">
      <w:r w:rsidR="001E4B86" w:rsidRPr="00D53DC3">
        <w:rPr>
          <w:rStyle w:val="Hyperlink"/>
          <w:rFonts w:ascii="Arial" w:hAnsi="Arial" w:cs="Arial"/>
          <w:sz w:val="16"/>
          <w:szCs w:val="16"/>
        </w:rPr>
        <w:t>http://www.txcourts.gov</w:t>
      </w:r>
    </w:hyperlink>
  </w:p>
  <w:p w14:paraId="46A6F389" w14:textId="77777777" w:rsidR="001E4B86" w:rsidRDefault="001E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23CE" w14:textId="77777777" w:rsidR="001E4B86" w:rsidRDefault="001E4B86">
      <w:r>
        <w:separator/>
      </w:r>
    </w:p>
  </w:footnote>
  <w:footnote w:type="continuationSeparator" w:id="0">
    <w:p w14:paraId="4625AF01" w14:textId="77777777" w:rsidR="001E4B86" w:rsidRDefault="001E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5B721" w14:textId="77777777" w:rsidR="001E4B86" w:rsidRDefault="001E4B86" w:rsidP="00226D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01E4B86" w14:paraId="5A7DE319" w14:textId="77777777" w:rsidTr="15DFE509">
      <w:tc>
        <w:tcPr>
          <w:tcW w:w="3600" w:type="dxa"/>
        </w:tcPr>
        <w:p w14:paraId="055437F5" w14:textId="7F830D4F" w:rsidR="001E4B86" w:rsidRDefault="001E4B86" w:rsidP="15DFE509">
          <w:pPr>
            <w:pStyle w:val="Header"/>
            <w:ind w:left="-115"/>
            <w:jc w:val="left"/>
          </w:pPr>
        </w:p>
      </w:tc>
      <w:tc>
        <w:tcPr>
          <w:tcW w:w="3600" w:type="dxa"/>
        </w:tcPr>
        <w:p w14:paraId="6B932FEC" w14:textId="4A298B59" w:rsidR="001E4B86" w:rsidRDefault="001E4B86" w:rsidP="15DFE509">
          <w:pPr>
            <w:pStyle w:val="Header"/>
            <w:jc w:val="center"/>
          </w:pPr>
        </w:p>
      </w:tc>
      <w:tc>
        <w:tcPr>
          <w:tcW w:w="3600" w:type="dxa"/>
        </w:tcPr>
        <w:p w14:paraId="5BC07942" w14:textId="2A5CB428" w:rsidR="001E4B86" w:rsidRDefault="001E4B86" w:rsidP="15DFE509">
          <w:pPr>
            <w:pStyle w:val="Header"/>
            <w:ind w:right="-115"/>
            <w:jc w:val="right"/>
          </w:pPr>
        </w:p>
      </w:tc>
    </w:tr>
  </w:tbl>
  <w:p w14:paraId="018593FA" w14:textId="0CE07100" w:rsidR="001E4B86" w:rsidRDefault="001E4B86" w:rsidP="15DFE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E7B"/>
    <w:multiLevelType w:val="multilevel"/>
    <w:tmpl w:val="0409001D"/>
    <w:numStyleLink w:val="Style3"/>
  </w:abstractNum>
  <w:abstractNum w:abstractNumId="1" w15:restartNumberingAfterBreak="0">
    <w:nsid w:val="040A2DB4"/>
    <w:multiLevelType w:val="hybridMultilevel"/>
    <w:tmpl w:val="3870A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877"/>
    <w:multiLevelType w:val="hybridMultilevel"/>
    <w:tmpl w:val="5C324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21B39"/>
    <w:multiLevelType w:val="hybridMultilevel"/>
    <w:tmpl w:val="446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A0B48"/>
    <w:multiLevelType w:val="hybridMultilevel"/>
    <w:tmpl w:val="0E648A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927E4"/>
    <w:multiLevelType w:val="hybridMultilevel"/>
    <w:tmpl w:val="165AE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C35FB"/>
    <w:multiLevelType w:val="hybridMultilevel"/>
    <w:tmpl w:val="BC2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186"/>
    <w:multiLevelType w:val="multilevel"/>
    <w:tmpl w:val="0409001D"/>
    <w:numStyleLink w:val="Style2"/>
  </w:abstractNum>
  <w:abstractNum w:abstractNumId="8" w15:restartNumberingAfterBreak="0">
    <w:nsid w:val="14302333"/>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32669"/>
    <w:multiLevelType w:val="multilevel"/>
    <w:tmpl w:val="9EE65728"/>
    <w:styleLink w:val="Style9"/>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right"/>
      <w:pPr>
        <w:ind w:left="2520" w:hanging="180"/>
      </w:pPr>
    </w:lvl>
    <w:lvl w:ilvl="3">
      <w:start w:val="1"/>
      <w:numFmt w:val="bullet"/>
      <w:lvlText w:val=""/>
      <w:lvlJc w:val="left"/>
      <w:pPr>
        <w:ind w:left="3240" w:hanging="360"/>
      </w:pPr>
      <w:rPr>
        <w:rFonts w:ascii="Wingdings" w:hAnsi="Wingding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9494D41"/>
    <w:multiLevelType w:val="multilevel"/>
    <w:tmpl w:val="F4E6C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6856D7"/>
    <w:multiLevelType w:val="hybridMultilevel"/>
    <w:tmpl w:val="92D8D096"/>
    <w:lvl w:ilvl="0" w:tplc="84A05B06">
      <w:start w:val="20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A0414"/>
    <w:multiLevelType w:val="hybridMultilevel"/>
    <w:tmpl w:val="59E06548"/>
    <w:lvl w:ilvl="0" w:tplc="A7E8209C">
      <w:start w:val="2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D3A80"/>
    <w:multiLevelType w:val="multilevel"/>
    <w:tmpl w:val="9EE65728"/>
    <w:numStyleLink w:val="Style9"/>
  </w:abstractNum>
  <w:abstractNum w:abstractNumId="14" w15:restartNumberingAfterBreak="0">
    <w:nsid w:val="2BDB20AA"/>
    <w:multiLevelType w:val="hybridMultilevel"/>
    <w:tmpl w:val="864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C4F6B"/>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FF6FBD"/>
    <w:multiLevelType w:val="multilevel"/>
    <w:tmpl w:val="0409001D"/>
    <w:numStyleLink w:val="Style5"/>
  </w:abstractNum>
  <w:abstractNum w:abstractNumId="17" w15:restartNumberingAfterBreak="0">
    <w:nsid w:val="3A296546"/>
    <w:multiLevelType w:val="multilevel"/>
    <w:tmpl w:val="0409001D"/>
    <w:numStyleLink w:val="Style6"/>
  </w:abstractNum>
  <w:abstractNum w:abstractNumId="18" w15:restartNumberingAfterBreak="0">
    <w:nsid w:val="3A81194B"/>
    <w:multiLevelType w:val="hybridMultilevel"/>
    <w:tmpl w:val="F8986DCE"/>
    <w:lvl w:ilvl="0" w:tplc="0409000F">
      <w:start w:val="1"/>
      <w:numFmt w:val="decimal"/>
      <w:lvlText w:val="%1."/>
      <w:lvlJc w:val="left"/>
      <w:pPr>
        <w:ind w:left="720" w:hanging="360"/>
      </w:pPr>
      <w:rPr>
        <w:rFonts w:hint="default"/>
      </w:rPr>
    </w:lvl>
    <w:lvl w:ilvl="1" w:tplc="6BBEB0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049A"/>
    <w:multiLevelType w:val="hybridMultilevel"/>
    <w:tmpl w:val="4186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84C58"/>
    <w:multiLevelType w:val="multilevel"/>
    <w:tmpl w:val="0409001D"/>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6E5F11"/>
    <w:multiLevelType w:val="multilevel"/>
    <w:tmpl w:val="0409001D"/>
    <w:numStyleLink w:val="Style8"/>
  </w:abstractNum>
  <w:abstractNum w:abstractNumId="22" w15:restartNumberingAfterBreak="0">
    <w:nsid w:val="4ED91E4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53745C"/>
    <w:multiLevelType w:val="hybridMultilevel"/>
    <w:tmpl w:val="8C60E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06095"/>
    <w:multiLevelType w:val="multilevel"/>
    <w:tmpl w:val="0409001D"/>
    <w:numStyleLink w:val="Style1"/>
  </w:abstractNum>
  <w:abstractNum w:abstractNumId="25" w15:restartNumberingAfterBreak="0">
    <w:nsid w:val="560B341C"/>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6D31CC"/>
    <w:multiLevelType w:val="hybridMultilevel"/>
    <w:tmpl w:val="8CA05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A3ABF"/>
    <w:multiLevelType w:val="multilevel"/>
    <w:tmpl w:val="C1708E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EB1368"/>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C6680E"/>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A650A4"/>
    <w:multiLevelType w:val="hybridMultilevel"/>
    <w:tmpl w:val="03DE9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6A42B3"/>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63790C"/>
    <w:multiLevelType w:val="hybridMultilevel"/>
    <w:tmpl w:val="1EF86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7F0C76"/>
    <w:multiLevelType w:val="multilevel"/>
    <w:tmpl w:val="0409001D"/>
    <w:numStyleLink w:val="Style7"/>
  </w:abstractNum>
  <w:abstractNum w:abstractNumId="34" w15:restartNumberingAfterBreak="0">
    <w:nsid w:val="76737678"/>
    <w:multiLevelType w:val="hybridMultilevel"/>
    <w:tmpl w:val="AE34B3E6"/>
    <w:lvl w:ilvl="0" w:tplc="A1BA08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42C98"/>
    <w:multiLevelType w:val="hybridMultilevel"/>
    <w:tmpl w:val="F9E6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E751E"/>
    <w:multiLevelType w:val="hybridMultilevel"/>
    <w:tmpl w:val="26F6FBCC"/>
    <w:lvl w:ilvl="0" w:tplc="4AD8C3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14"/>
  </w:num>
  <w:num w:numId="4">
    <w:abstractNumId w:val="18"/>
  </w:num>
  <w:num w:numId="5">
    <w:abstractNumId w:val="2"/>
  </w:num>
  <w:num w:numId="6">
    <w:abstractNumId w:val="6"/>
  </w:num>
  <w:num w:numId="7">
    <w:abstractNumId w:val="27"/>
  </w:num>
  <w:num w:numId="8">
    <w:abstractNumId w:val="12"/>
  </w:num>
  <w:num w:numId="9">
    <w:abstractNumId w:val="11"/>
  </w:num>
  <w:num w:numId="10">
    <w:abstractNumId w:val="26"/>
  </w:num>
  <w:num w:numId="11">
    <w:abstractNumId w:val="4"/>
  </w:num>
  <w:num w:numId="12">
    <w:abstractNumId w:val="5"/>
  </w:num>
  <w:num w:numId="13">
    <w:abstractNumId w:val="1"/>
  </w:num>
  <w:num w:numId="14">
    <w:abstractNumId w:val="20"/>
  </w:num>
  <w:num w:numId="15">
    <w:abstractNumId w:val="24"/>
  </w:num>
  <w:num w:numId="16">
    <w:abstractNumId w:val="22"/>
  </w:num>
  <w:num w:numId="17">
    <w:abstractNumId w:val="7"/>
  </w:num>
  <w:num w:numId="18">
    <w:abstractNumId w:val="29"/>
  </w:num>
  <w:num w:numId="19">
    <w:abstractNumId w:val="0"/>
  </w:num>
  <w:num w:numId="20">
    <w:abstractNumId w:val="28"/>
  </w:num>
  <w:num w:numId="21">
    <w:abstractNumId w:val="31"/>
  </w:num>
  <w:num w:numId="22">
    <w:abstractNumId w:val="16"/>
  </w:num>
  <w:num w:numId="23">
    <w:abstractNumId w:val="8"/>
  </w:num>
  <w:num w:numId="24">
    <w:abstractNumId w:val="17"/>
  </w:num>
  <w:num w:numId="25">
    <w:abstractNumId w:val="15"/>
  </w:num>
  <w:num w:numId="26">
    <w:abstractNumId w:val="33"/>
  </w:num>
  <w:num w:numId="27">
    <w:abstractNumId w:val="25"/>
  </w:num>
  <w:num w:numId="28">
    <w:abstractNumId w:val="21"/>
  </w:num>
  <w:num w:numId="29">
    <w:abstractNumId w:val="13"/>
  </w:num>
  <w:num w:numId="30">
    <w:abstractNumId w:val="9"/>
  </w:num>
  <w:num w:numId="31">
    <w:abstractNumId w:val="19"/>
  </w:num>
  <w:num w:numId="32">
    <w:abstractNumId w:val="32"/>
  </w:num>
  <w:num w:numId="33">
    <w:abstractNumId w:val="23"/>
  </w:num>
  <w:num w:numId="34">
    <w:abstractNumId w:val="35"/>
  </w:num>
  <w:num w:numId="35">
    <w:abstractNumId w:val="10"/>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mailMerge>
    <w:mainDocumentType w:val="formLetters"/>
    <w:linkToQuery/>
    <w:dataType w:val="native"/>
    <w:connectString w:val="Provider=Microsoft.ACE.OLEDB.12.0;User ID=Admin;Data Source=\\oca-pfps01\data\Pubs\AR 2016\Y. Letters\Clerks 09_27_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istrict C;erls$'`"/>
    <w:activeRecord w:val="-1"/>
    <w:odso>
      <w:udl w:val="Provider=Microsoft.ACE.OLEDB.12.0;User ID=Admin;Data Source=\\oca-pfps01\data\Pubs\AR 2016\Y. Letters\Clerks 09_27_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istrict C;erls$'"/>
      <w:src r:id="rId1"/>
      <w:colDelim w:val="9"/>
      <w:type w:val="database"/>
      <w:fHdr/>
      <w:fieldMapData>
        <w:column w:val="0"/>
        <w:lid w:val="en-US"/>
      </w:fieldMapData>
      <w:fieldMapData>
        <w:column w:val="0"/>
        <w:lid w:val="en-US"/>
      </w:fieldMapData>
      <w:fieldMapData>
        <w:type w:val="dbColumn"/>
        <w:name w:val="First_Name"/>
        <w:mappedName w:val="First Name"/>
        <w:column w:val="2"/>
        <w:lid w:val="en-US"/>
      </w:fieldMapData>
      <w:fieldMapData>
        <w:type w:val="dbColumn"/>
        <w:name w:val="Middle_Name"/>
        <w:mappedName w:val="Middle Name"/>
        <w:column w:val="3"/>
        <w:lid w:val="en-US"/>
      </w:fieldMapData>
      <w:fieldMapData>
        <w:type w:val="dbColumn"/>
        <w:name w:val="Last_Name"/>
        <w:mappedName w:val="Last Name"/>
        <w:column w:val="4"/>
        <w:lid w:val="en-US"/>
      </w:fieldMapData>
      <w:fieldMapData>
        <w:type w:val="dbColumn"/>
        <w:name w:val="Suffix"/>
        <w:mappedName w:val="Suffix"/>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Zipcode"/>
        <w:mappedName w:val="Postal Code"/>
        <w:column w:val="10"/>
        <w:lid w:val="en-US"/>
      </w:fieldMapData>
      <w:fieldMapData>
        <w:column w:val="0"/>
        <w:lid w:val="en-US"/>
      </w:fieldMapData>
      <w:fieldMapData>
        <w:type w:val="dbColumn"/>
        <w:name w:val="Phone"/>
        <w:mappedName w:val="Business Phone"/>
        <w:column w:val="12"/>
        <w:lid w:val="en-US"/>
      </w:fieldMapData>
      <w:fieldMapData>
        <w:type w:val="dbColumn"/>
        <w:name w:val="Fax"/>
        <w:mappedName w:val="Business Fax"/>
        <w:column w:val="14"/>
        <w:lid w:val="en-US"/>
      </w:fieldMapData>
      <w:fieldMapData>
        <w:column w:val="0"/>
        <w:lid w:val="en-US"/>
      </w:fieldMapData>
      <w:fieldMapData>
        <w:column w:val="0"/>
        <w:lid w:val="en-US"/>
      </w:fieldMapData>
      <w:fieldMapData>
        <w:column w:val="0"/>
        <w:lid w:val="en-US"/>
      </w:fieldMapData>
      <w:fieldMapData>
        <w:type w:val="dbColumn"/>
        <w:name w:val="URL"/>
        <w:mappedName w:val="Web Page"/>
        <w:column w:val="1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B3"/>
    <w:rsid w:val="00011FF4"/>
    <w:rsid w:val="0001261A"/>
    <w:rsid w:val="000337D1"/>
    <w:rsid w:val="00047FDA"/>
    <w:rsid w:val="000632FB"/>
    <w:rsid w:val="000A3DA8"/>
    <w:rsid w:val="000D217D"/>
    <w:rsid w:val="00130154"/>
    <w:rsid w:val="00134CAC"/>
    <w:rsid w:val="00145F2D"/>
    <w:rsid w:val="00146C52"/>
    <w:rsid w:val="00155560"/>
    <w:rsid w:val="001A72B3"/>
    <w:rsid w:val="001E132B"/>
    <w:rsid w:val="001E4B86"/>
    <w:rsid w:val="00214C72"/>
    <w:rsid w:val="002219D8"/>
    <w:rsid w:val="00226DB0"/>
    <w:rsid w:val="00234277"/>
    <w:rsid w:val="00284CC5"/>
    <w:rsid w:val="002924E8"/>
    <w:rsid w:val="00294B42"/>
    <w:rsid w:val="002A4013"/>
    <w:rsid w:val="002E4C50"/>
    <w:rsid w:val="00327B2B"/>
    <w:rsid w:val="00351F5F"/>
    <w:rsid w:val="003826FA"/>
    <w:rsid w:val="00387C54"/>
    <w:rsid w:val="00393BB7"/>
    <w:rsid w:val="003A3603"/>
    <w:rsid w:val="003B3DA0"/>
    <w:rsid w:val="003E6ADC"/>
    <w:rsid w:val="00437B49"/>
    <w:rsid w:val="004611B0"/>
    <w:rsid w:val="004A1F05"/>
    <w:rsid w:val="004A2868"/>
    <w:rsid w:val="004B6B7D"/>
    <w:rsid w:val="004C657A"/>
    <w:rsid w:val="004E2343"/>
    <w:rsid w:val="004E2969"/>
    <w:rsid w:val="004F6403"/>
    <w:rsid w:val="005875CB"/>
    <w:rsid w:val="005C0595"/>
    <w:rsid w:val="005C42FD"/>
    <w:rsid w:val="005E1B3D"/>
    <w:rsid w:val="006004B5"/>
    <w:rsid w:val="0062322D"/>
    <w:rsid w:val="0066232E"/>
    <w:rsid w:val="0067006A"/>
    <w:rsid w:val="006841DE"/>
    <w:rsid w:val="006A1415"/>
    <w:rsid w:val="006C2D3F"/>
    <w:rsid w:val="006C3FBE"/>
    <w:rsid w:val="006E1737"/>
    <w:rsid w:val="006E74D4"/>
    <w:rsid w:val="00717565"/>
    <w:rsid w:val="00725EB1"/>
    <w:rsid w:val="007606E7"/>
    <w:rsid w:val="00780109"/>
    <w:rsid w:val="00786678"/>
    <w:rsid w:val="00796C03"/>
    <w:rsid w:val="007C4C03"/>
    <w:rsid w:val="007E6317"/>
    <w:rsid w:val="007F0C9E"/>
    <w:rsid w:val="008140F5"/>
    <w:rsid w:val="008161AA"/>
    <w:rsid w:val="008161C8"/>
    <w:rsid w:val="008224D6"/>
    <w:rsid w:val="00845CFC"/>
    <w:rsid w:val="008800FE"/>
    <w:rsid w:val="008816F0"/>
    <w:rsid w:val="00881D59"/>
    <w:rsid w:val="00886660"/>
    <w:rsid w:val="00896326"/>
    <w:rsid w:val="008A3BC7"/>
    <w:rsid w:val="008C2EFE"/>
    <w:rsid w:val="008D5635"/>
    <w:rsid w:val="00911FE1"/>
    <w:rsid w:val="00924AA5"/>
    <w:rsid w:val="0093492A"/>
    <w:rsid w:val="00934AA7"/>
    <w:rsid w:val="00940EA0"/>
    <w:rsid w:val="00954141"/>
    <w:rsid w:val="00960C64"/>
    <w:rsid w:val="00967715"/>
    <w:rsid w:val="00967EA2"/>
    <w:rsid w:val="009B3CD9"/>
    <w:rsid w:val="00A348A7"/>
    <w:rsid w:val="00A469D7"/>
    <w:rsid w:val="00A46F4F"/>
    <w:rsid w:val="00A5487C"/>
    <w:rsid w:val="00A57719"/>
    <w:rsid w:val="00A77684"/>
    <w:rsid w:val="00A81980"/>
    <w:rsid w:val="00AA0FD6"/>
    <w:rsid w:val="00AA1689"/>
    <w:rsid w:val="00AB53D5"/>
    <w:rsid w:val="00AC1F51"/>
    <w:rsid w:val="00AD10A6"/>
    <w:rsid w:val="00AF5318"/>
    <w:rsid w:val="00B07C3A"/>
    <w:rsid w:val="00B41555"/>
    <w:rsid w:val="00B93866"/>
    <w:rsid w:val="00BA507B"/>
    <w:rsid w:val="00C62C90"/>
    <w:rsid w:val="00C71B8E"/>
    <w:rsid w:val="00CB137F"/>
    <w:rsid w:val="00D0078D"/>
    <w:rsid w:val="00D46354"/>
    <w:rsid w:val="00D538F5"/>
    <w:rsid w:val="00D74437"/>
    <w:rsid w:val="00D839B4"/>
    <w:rsid w:val="00D93FFA"/>
    <w:rsid w:val="00DE655A"/>
    <w:rsid w:val="00DF0355"/>
    <w:rsid w:val="00E538BF"/>
    <w:rsid w:val="00E65673"/>
    <w:rsid w:val="00E75D29"/>
    <w:rsid w:val="00E833E3"/>
    <w:rsid w:val="00EB2BF7"/>
    <w:rsid w:val="00EC7D1C"/>
    <w:rsid w:val="00F05A66"/>
    <w:rsid w:val="00F276E8"/>
    <w:rsid w:val="00F74D55"/>
    <w:rsid w:val="00FA2E50"/>
    <w:rsid w:val="00FA5A4D"/>
    <w:rsid w:val="15DFE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BB8E15"/>
  <w15:docId w15:val="{219C1F7E-479C-401D-A095-65D2C81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ReturnAddre">
    <w:name w:val="Return Addre"/>
    <w:uiPriority w:val="99"/>
    <w:pPr>
      <w:widowControl w:val="0"/>
      <w:autoSpaceDE w:val="0"/>
      <w:autoSpaceDN w:val="0"/>
      <w:adjustRightInd w:val="0"/>
      <w:spacing w:after="0" w:line="240" w:lineRule="auto"/>
    </w:pPr>
    <w:rPr>
      <w:sz w:val="24"/>
      <w:szCs w:val="24"/>
    </w:rPr>
  </w:style>
  <w:style w:type="paragraph" w:styleId="Date">
    <w:name w:val="Date"/>
    <w:basedOn w:val="Normal"/>
    <w:next w:val="Normal"/>
    <w:link w:val="DateChar"/>
    <w:uiPriority w:val="99"/>
    <w:rPr>
      <w:sz w:val="24"/>
      <w:szCs w:val="24"/>
    </w:rPr>
  </w:style>
  <w:style w:type="character" w:customStyle="1" w:styleId="DateChar">
    <w:name w:val="Date Char"/>
    <w:basedOn w:val="DefaultParagraphFont"/>
    <w:link w:val="Date"/>
    <w:uiPriority w:val="99"/>
    <w:semiHidden/>
    <w:locked/>
    <w:rPr>
      <w:rFonts w:cs="Times New Roman"/>
      <w:sz w:val="20"/>
      <w:szCs w:val="20"/>
    </w:rPr>
  </w:style>
  <w:style w:type="paragraph" w:customStyle="1" w:styleId="InsideAddr1">
    <w:name w:val="Inside Addr1"/>
    <w:uiPriority w:val="99"/>
    <w:pPr>
      <w:widowControl w:val="0"/>
      <w:autoSpaceDE w:val="0"/>
      <w:autoSpaceDN w:val="0"/>
      <w:adjustRightInd w:val="0"/>
      <w:spacing w:after="0" w:line="240" w:lineRule="auto"/>
    </w:pPr>
    <w:rPr>
      <w:sz w:val="24"/>
      <w:szCs w:val="24"/>
    </w:rPr>
  </w:style>
  <w:style w:type="paragraph" w:customStyle="1" w:styleId="InsideAddre">
    <w:name w:val="Inside Addre"/>
    <w:uiPriority w:val="99"/>
    <w:pPr>
      <w:widowControl w:val="0"/>
      <w:autoSpaceDE w:val="0"/>
      <w:autoSpaceDN w:val="0"/>
      <w:adjustRightInd w:val="0"/>
      <w:spacing w:after="0" w:line="240" w:lineRule="auto"/>
    </w:pPr>
    <w:rPr>
      <w:sz w:val="24"/>
      <w:szCs w:val="24"/>
    </w:rPr>
  </w:style>
  <w:style w:type="paragraph" w:styleId="Salutation">
    <w:name w:val="Salutation"/>
    <w:basedOn w:val="Normal"/>
    <w:next w:val="Normal"/>
    <w:link w:val="SalutationChar"/>
    <w:uiPriority w:val="99"/>
    <w:rPr>
      <w:sz w:val="24"/>
      <w:szCs w:val="24"/>
    </w:rPr>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BodyText">
    <w:name w:val="Body Text"/>
    <w:basedOn w:val="Normal"/>
    <w:link w:val="BodyTextChar"/>
    <w:uiPriority w:val="99"/>
    <w:pPr>
      <w:spacing w:after="120"/>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losing">
    <w:name w:val="Closing"/>
    <w:basedOn w:val="Normal"/>
    <w:link w:val="ClosingChar"/>
    <w:uiPriority w:val="99"/>
    <w:rPr>
      <w:sz w:val="24"/>
      <w:szCs w:val="24"/>
    </w:rPr>
  </w:style>
  <w:style w:type="character" w:customStyle="1" w:styleId="ClosingChar">
    <w:name w:val="Closing Char"/>
    <w:basedOn w:val="DefaultParagraphFont"/>
    <w:link w:val="Closing"/>
    <w:uiPriority w:val="99"/>
    <w:semiHidden/>
    <w:locked/>
    <w:rPr>
      <w:rFonts w:cs="Times New Roman"/>
      <w:sz w:val="20"/>
      <w:szCs w:val="20"/>
    </w:rPr>
  </w:style>
  <w:style w:type="paragraph" w:styleId="Signature">
    <w:name w:val="Signature"/>
    <w:basedOn w:val="Normal"/>
    <w:link w:val="SignatureChar"/>
    <w:uiPriority w:val="99"/>
    <w:rPr>
      <w:sz w:val="24"/>
      <w:szCs w:val="24"/>
    </w:rPr>
  </w:style>
  <w:style w:type="character" w:customStyle="1" w:styleId="SignatureChar">
    <w:name w:val="Signature Char"/>
    <w:basedOn w:val="DefaultParagraphFont"/>
    <w:link w:val="Signature"/>
    <w:uiPriority w:val="99"/>
    <w:semiHidden/>
    <w:locked/>
    <w:rPr>
      <w:rFonts w:cs="Times New Roman"/>
      <w:sz w:val="20"/>
      <w:szCs w:val="20"/>
    </w:rPr>
  </w:style>
  <w:style w:type="paragraph" w:customStyle="1" w:styleId="SignatureJo">
    <w:name w:val="Signature Jo"/>
    <w:uiPriority w:val="99"/>
    <w:pPr>
      <w:widowControl w:val="0"/>
      <w:autoSpaceDE w:val="0"/>
      <w:autoSpaceDN w:val="0"/>
      <w:adjustRightInd w:val="0"/>
      <w:spacing w:after="0" w:line="240" w:lineRule="auto"/>
    </w:pPr>
    <w:rPr>
      <w:sz w:val="24"/>
      <w:szCs w:val="24"/>
    </w:rPr>
  </w:style>
  <w:style w:type="paragraph" w:customStyle="1" w:styleId="SignatureCo">
    <w:name w:val="Signature Co"/>
    <w:uiPriority w:val="99"/>
    <w:pPr>
      <w:widowControl w:val="0"/>
      <w:autoSpaceDE w:val="0"/>
      <w:autoSpaceDN w:val="0"/>
      <w:adjustRightInd w:val="0"/>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214C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826FA"/>
    <w:pPr>
      <w:widowControl/>
      <w:autoSpaceDE/>
      <w:autoSpaceDN/>
      <w:adjustRightInd/>
      <w:ind w:left="720"/>
    </w:pPr>
    <w:rPr>
      <w:sz w:val="24"/>
    </w:rPr>
  </w:style>
  <w:style w:type="numbering" w:customStyle="1" w:styleId="Style1">
    <w:name w:val="Style1"/>
    <w:uiPriority w:val="99"/>
    <w:rsid w:val="008161C8"/>
    <w:pPr>
      <w:numPr>
        <w:numId w:val="14"/>
      </w:numPr>
    </w:pPr>
  </w:style>
  <w:style w:type="numbering" w:customStyle="1" w:styleId="Style2">
    <w:name w:val="Style2"/>
    <w:uiPriority w:val="99"/>
    <w:rsid w:val="008161C8"/>
    <w:pPr>
      <w:numPr>
        <w:numId w:val="16"/>
      </w:numPr>
    </w:pPr>
  </w:style>
  <w:style w:type="numbering" w:customStyle="1" w:styleId="Style3">
    <w:name w:val="Style3"/>
    <w:uiPriority w:val="99"/>
    <w:rsid w:val="008161C8"/>
    <w:pPr>
      <w:numPr>
        <w:numId w:val="18"/>
      </w:numPr>
    </w:pPr>
  </w:style>
  <w:style w:type="numbering" w:customStyle="1" w:styleId="Style4">
    <w:name w:val="Style4"/>
    <w:uiPriority w:val="99"/>
    <w:rsid w:val="008161C8"/>
    <w:pPr>
      <w:numPr>
        <w:numId w:val="20"/>
      </w:numPr>
    </w:pPr>
  </w:style>
  <w:style w:type="numbering" w:customStyle="1" w:styleId="Style5">
    <w:name w:val="Style5"/>
    <w:uiPriority w:val="99"/>
    <w:rsid w:val="008161C8"/>
    <w:pPr>
      <w:numPr>
        <w:numId w:val="21"/>
      </w:numPr>
    </w:pPr>
  </w:style>
  <w:style w:type="numbering" w:customStyle="1" w:styleId="Style6">
    <w:name w:val="Style6"/>
    <w:uiPriority w:val="99"/>
    <w:rsid w:val="00393BB7"/>
    <w:pPr>
      <w:numPr>
        <w:numId w:val="23"/>
      </w:numPr>
    </w:pPr>
  </w:style>
  <w:style w:type="numbering" w:customStyle="1" w:styleId="Style7">
    <w:name w:val="Style7"/>
    <w:uiPriority w:val="99"/>
    <w:rsid w:val="00393BB7"/>
    <w:pPr>
      <w:numPr>
        <w:numId w:val="25"/>
      </w:numPr>
    </w:pPr>
  </w:style>
  <w:style w:type="numbering" w:customStyle="1" w:styleId="Style8">
    <w:name w:val="Style8"/>
    <w:uiPriority w:val="99"/>
    <w:rsid w:val="00393BB7"/>
    <w:pPr>
      <w:numPr>
        <w:numId w:val="27"/>
      </w:numPr>
    </w:pPr>
  </w:style>
  <w:style w:type="numbering" w:customStyle="1" w:styleId="Style9">
    <w:name w:val="Style9"/>
    <w:uiPriority w:val="99"/>
    <w:rsid w:val="00393BB7"/>
    <w:pPr>
      <w:numPr>
        <w:numId w:val="30"/>
      </w:numPr>
    </w:pPr>
  </w:style>
  <w:style w:type="paragraph" w:styleId="Title">
    <w:name w:val="Title"/>
    <w:basedOn w:val="Normal"/>
    <w:next w:val="Normal"/>
    <w:link w:val="TitleChar"/>
    <w:uiPriority w:val="10"/>
    <w:qFormat/>
    <w:rsid w:val="007606E7"/>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6E7"/>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AA0FD6"/>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E4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Info@txcourt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districtcountyannualreportverifi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rd.txcourts.gov/" TargetMode="External"/><Relationship Id="rId4" Type="http://schemas.openxmlformats.org/officeDocument/2006/relationships/settings" Target="settings.xml"/><Relationship Id="rId9" Type="http://schemas.openxmlformats.org/officeDocument/2006/relationships/hyperlink" Target="http://www.txcourts.gov/reporting-to-oca/judicial-council-trial-court-activity-reports/district-county-fy-2017-annual-report-verifi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xcourt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xcourts.gov"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oca-pfps01\data\Pubs\AR%202016\Y.%20Letters\Clerks%2009_27_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8D4F-4D70-4EC3-A5C7-7A383EBD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Courts administraion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Franco</dc:creator>
  <cp:keywords/>
  <dc:description/>
  <cp:lastModifiedBy>Sandra Mabbett</cp:lastModifiedBy>
  <cp:revision>2</cp:revision>
  <cp:lastPrinted>2017-10-07T16:45:00Z</cp:lastPrinted>
  <dcterms:created xsi:type="dcterms:W3CDTF">2017-10-13T23:10:00Z</dcterms:created>
  <dcterms:modified xsi:type="dcterms:W3CDTF">2017-10-13T23:10:00Z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-1377757315</vt:i4>
  </property>
  <property fmtid="{D5CDD505-2E9C-101B-9397-08002B2CF9AE}" pid="3" name="_NewReviewCycle">
    <vt:lpwstr/>
  </property>
  <property fmtid="{D5CDD505-2E9C-101B-9397-08002B2CF9AE}" pid="4" name="_EmailSubject">
    <vt:lpwstr>Agency Letterhead</vt:lpwstr>
  </property>
  <property fmtid="{D5CDD505-2E9C-101B-9397-08002B2CF9AE}" pid="5" name="_AuthorEmail">
    <vt:lpwstr>Meredith.Higgins@txcourts.gov</vt:lpwstr>
  </property>
  <property fmtid="{D5CDD505-2E9C-101B-9397-08002B2CF9AE}" pid="6" name="_AuthorEmailDisplayName">
    <vt:lpwstr>Meredith Higgins</vt:lpwstr>
  </property>
  <property fmtid="{D5CDD505-2E9C-101B-9397-08002B2CF9AE}" pid="7" name="_ReviewingToolsShownOnce">
    <vt:lpwstr/>
  </property>
</Properties>
</file>