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Office of Court Administration</w:t>
      </w:r>
    </w:p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At a Glance - Allowable Travel Costs</w:t>
      </w:r>
    </w:p>
    <w:p w:rsidR="00F516A7" w:rsidRPr="008D00A0" w:rsidRDefault="00F044F1">
      <w:pPr>
        <w:jc w:val="center"/>
        <w:rPr>
          <w:b/>
          <w:bCs/>
          <w:sz w:val="19"/>
          <w:szCs w:val="19"/>
        </w:rPr>
      </w:pPr>
      <w:r w:rsidRPr="008D00A0">
        <w:rPr>
          <w:b/>
          <w:bCs/>
          <w:sz w:val="19"/>
          <w:szCs w:val="19"/>
        </w:rPr>
        <w:t>Boar</w:t>
      </w:r>
      <w:r w:rsidR="00C666B9" w:rsidRPr="008D00A0">
        <w:rPr>
          <w:b/>
          <w:bCs/>
          <w:sz w:val="19"/>
          <w:szCs w:val="19"/>
        </w:rPr>
        <w:t>d Members, Committee Members,</w:t>
      </w:r>
      <w:r w:rsidRPr="008D00A0">
        <w:rPr>
          <w:b/>
          <w:bCs/>
          <w:sz w:val="19"/>
          <w:szCs w:val="19"/>
        </w:rPr>
        <w:t xml:space="preserve"> Judicial Officers</w:t>
      </w:r>
      <w:r w:rsidR="00C666B9" w:rsidRPr="008D00A0">
        <w:rPr>
          <w:b/>
          <w:bCs/>
          <w:sz w:val="19"/>
          <w:szCs w:val="19"/>
        </w:rPr>
        <w:t>, and</w:t>
      </w:r>
      <w:r w:rsidR="00F516A7" w:rsidRPr="008D00A0">
        <w:rPr>
          <w:b/>
          <w:bCs/>
          <w:sz w:val="19"/>
          <w:szCs w:val="19"/>
        </w:rPr>
        <w:t xml:space="preserve"> </w:t>
      </w:r>
    </w:p>
    <w:p w:rsidR="00F044F1" w:rsidRPr="008D00A0" w:rsidRDefault="00F516A7">
      <w:pPr>
        <w:jc w:val="center"/>
        <w:rPr>
          <w:b/>
          <w:bCs/>
          <w:sz w:val="19"/>
          <w:szCs w:val="19"/>
        </w:rPr>
      </w:pPr>
      <w:r w:rsidRPr="008D00A0">
        <w:rPr>
          <w:b/>
          <w:bCs/>
          <w:sz w:val="19"/>
          <w:szCs w:val="19"/>
        </w:rPr>
        <w:t>the Chief Administrative Officer of a State Agency</w:t>
      </w:r>
    </w:p>
    <w:p w:rsidR="00F044F1" w:rsidRPr="008D00A0" w:rsidRDefault="00F044F1">
      <w:pPr>
        <w:rPr>
          <w:sz w:val="15"/>
          <w:szCs w:val="15"/>
        </w:rPr>
      </w:pPr>
    </w:p>
    <w:p w:rsidR="00F044F1" w:rsidRPr="008D00A0" w:rsidRDefault="00F044F1">
      <w:pPr>
        <w:rPr>
          <w:sz w:val="21"/>
          <w:szCs w:val="21"/>
        </w:rPr>
      </w:pPr>
      <w:r w:rsidRPr="008D00A0">
        <w:rPr>
          <w:sz w:val="21"/>
          <w:szCs w:val="21"/>
        </w:rPr>
        <w:t>When traveling on official st</w:t>
      </w:r>
      <w:r w:rsidR="002C5FC6" w:rsidRPr="008D00A0">
        <w:rPr>
          <w:sz w:val="21"/>
          <w:szCs w:val="21"/>
        </w:rPr>
        <w:t>ate business, OCA board members and</w:t>
      </w:r>
      <w:r w:rsidRPr="008D00A0">
        <w:rPr>
          <w:sz w:val="21"/>
          <w:szCs w:val="21"/>
        </w:rPr>
        <w:t xml:space="preserve"> committee member</w:t>
      </w:r>
      <w:r w:rsidR="002C5FC6" w:rsidRPr="008D00A0">
        <w:rPr>
          <w:sz w:val="21"/>
          <w:szCs w:val="21"/>
        </w:rPr>
        <w:t>s,</w:t>
      </w:r>
      <w:r w:rsidRPr="008D00A0">
        <w:rPr>
          <w:sz w:val="21"/>
          <w:szCs w:val="21"/>
        </w:rPr>
        <w:t xml:space="preserve"> judicial officers</w:t>
      </w:r>
      <w:r w:rsidR="002C5FC6" w:rsidRPr="008D00A0">
        <w:rPr>
          <w:sz w:val="21"/>
          <w:szCs w:val="21"/>
        </w:rPr>
        <w:t xml:space="preserve">, and the OCA Administrative Director </w:t>
      </w:r>
      <w:r w:rsidRPr="008D00A0">
        <w:rPr>
          <w:sz w:val="21"/>
          <w:szCs w:val="21"/>
        </w:rPr>
        <w:t>are entitled to reimbursement for the following:</w:t>
      </w:r>
    </w:p>
    <w:p w:rsidR="00F044F1" w:rsidRPr="008D00A0" w:rsidRDefault="00F044F1">
      <w:pPr>
        <w:ind w:left="360" w:right="360"/>
        <w:rPr>
          <w:b/>
          <w:sz w:val="15"/>
          <w:szCs w:val="15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5940"/>
        <w:gridCol w:w="1477"/>
      </w:tblGrid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Type of Expense</w:t>
            </w:r>
          </w:p>
        </w:tc>
        <w:tc>
          <w:tcPr>
            <w:tcW w:w="5940" w:type="dxa"/>
          </w:tcPr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Special Provisions</w:t>
            </w:r>
          </w:p>
        </w:tc>
        <w:tc>
          <w:tcPr>
            <w:tcW w:w="1477" w:type="dxa"/>
          </w:tcPr>
          <w:p w:rsidR="00F044F1" w:rsidRPr="00C37D9D" w:rsidRDefault="006C0448" w:rsidP="006C0448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 xml:space="preserve">Original Receipt </w:t>
            </w:r>
            <w:r w:rsidR="00F044F1" w:rsidRPr="00C37D9D">
              <w:rPr>
                <w:b/>
                <w:sz w:val="18"/>
                <w:szCs w:val="18"/>
              </w:rPr>
              <w:t>Required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Public Transportation, Taxi fare</w:t>
            </w:r>
          </w:p>
        </w:tc>
        <w:tc>
          <w:tcPr>
            <w:tcW w:w="5940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Public Transportation, Airfare</w:t>
            </w:r>
          </w:p>
        </w:tc>
        <w:tc>
          <w:tcPr>
            <w:tcW w:w="5940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Use state contracts, unless not available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Yes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Public Transportation, Rental Car</w:t>
            </w:r>
          </w:p>
        </w:tc>
        <w:tc>
          <w:tcPr>
            <w:tcW w:w="5940" w:type="dxa"/>
          </w:tcPr>
          <w:p w:rsidR="00F044F1" w:rsidRPr="00C37D9D" w:rsidRDefault="00C641E4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Yes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733EFF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Mileage</w:t>
            </w:r>
          </w:p>
        </w:tc>
        <w:tc>
          <w:tcPr>
            <w:tcW w:w="5940" w:type="dxa"/>
          </w:tcPr>
          <w:p w:rsidR="00C216B5" w:rsidRDefault="00C216B5" w:rsidP="00790C2A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$0.54</w:t>
            </w:r>
            <w:r>
              <w:rPr>
                <w:bCs/>
                <w:sz w:val="18"/>
                <w:szCs w:val="18"/>
              </w:rPr>
              <w:t>5</w:t>
            </w:r>
            <w:r w:rsidRPr="00C37D9D">
              <w:rPr>
                <w:bCs/>
                <w:sz w:val="18"/>
                <w:szCs w:val="18"/>
              </w:rPr>
              <w:t xml:space="preserve"> per mile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 xml:space="preserve">(effective </w:t>
            </w:r>
            <w:r>
              <w:rPr>
                <w:bCs/>
                <w:sz w:val="18"/>
                <w:szCs w:val="18"/>
              </w:rPr>
              <w:t>Jan. 1, 2018 – Dec. 31, 2018</w:t>
            </w:r>
            <w:r w:rsidRPr="00C37D9D">
              <w:rPr>
                <w:bCs/>
                <w:sz w:val="18"/>
                <w:szCs w:val="18"/>
              </w:rPr>
              <w:t>)</w:t>
            </w:r>
          </w:p>
          <w:p w:rsidR="006C0448" w:rsidRPr="00C37D9D" w:rsidRDefault="0030457B" w:rsidP="0030457B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$0.</w:t>
            </w:r>
            <w:r>
              <w:rPr>
                <w:bCs/>
                <w:sz w:val="18"/>
                <w:szCs w:val="18"/>
              </w:rPr>
              <w:t>535</w:t>
            </w:r>
            <w:r w:rsidRPr="00C37D9D">
              <w:rPr>
                <w:bCs/>
                <w:sz w:val="18"/>
                <w:szCs w:val="18"/>
              </w:rPr>
              <w:t xml:space="preserve"> per mile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 xml:space="preserve">(effective </w:t>
            </w:r>
            <w:r>
              <w:rPr>
                <w:bCs/>
                <w:sz w:val="18"/>
                <w:szCs w:val="18"/>
              </w:rPr>
              <w:t>Jan. 1</w:t>
            </w:r>
            <w:r w:rsidR="00A43E0E">
              <w:rPr>
                <w:bCs/>
                <w:sz w:val="18"/>
                <w:szCs w:val="18"/>
              </w:rPr>
              <w:t>, 2017</w:t>
            </w:r>
            <w:r>
              <w:rPr>
                <w:bCs/>
                <w:sz w:val="18"/>
                <w:szCs w:val="18"/>
              </w:rPr>
              <w:t xml:space="preserve"> – Dec. 31, 2017</w:t>
            </w:r>
            <w:r w:rsidRPr="00C37D9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2C5FC6" w:rsidRPr="00A920E9" w:rsidTr="0030457B">
        <w:trPr>
          <w:jc w:val="center"/>
        </w:trPr>
        <w:tc>
          <w:tcPr>
            <w:tcW w:w="2965" w:type="dxa"/>
          </w:tcPr>
          <w:p w:rsidR="002C5FC6" w:rsidRPr="00C37D9D" w:rsidRDefault="002C5FC6" w:rsidP="00942456">
            <w:pPr>
              <w:spacing w:before="120" w:after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Meals, Overnight Travel</w:t>
            </w:r>
          </w:p>
          <w:p w:rsidR="002C5FC6" w:rsidRPr="00C37D9D" w:rsidRDefault="002C5FC6" w:rsidP="00942456">
            <w:pPr>
              <w:spacing w:before="120" w:after="120"/>
              <w:ind w:right="360"/>
              <w:rPr>
                <w:bCs/>
                <w:sz w:val="18"/>
                <w:szCs w:val="18"/>
              </w:rPr>
            </w:pPr>
          </w:p>
          <w:p w:rsidR="002C5FC6" w:rsidRPr="00C37D9D" w:rsidRDefault="002C5FC6" w:rsidP="00942456">
            <w:pPr>
              <w:spacing w:before="120" w:after="120"/>
              <w:ind w:right="36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40" w:type="dxa"/>
          </w:tcPr>
          <w:p w:rsidR="002C5FC6" w:rsidRPr="00C37D9D" w:rsidRDefault="002C5FC6" w:rsidP="00942456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Board and committee members</w:t>
            </w:r>
            <w:r w:rsidRPr="00C37D9D">
              <w:rPr>
                <w:bCs/>
                <w:sz w:val="18"/>
                <w:szCs w:val="18"/>
              </w:rPr>
              <w:t xml:space="preserve"> 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actual</w:t>
            </w:r>
            <w:r w:rsidRPr="00C37D9D">
              <w:rPr>
                <w:bCs/>
                <w:sz w:val="18"/>
                <w:szCs w:val="18"/>
              </w:rPr>
              <w:t xml:space="preserve"> meal charges</w:t>
            </w:r>
            <w:r w:rsidR="005518D8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  <w:u w:val="single"/>
              </w:rPr>
              <w:t>up to</w:t>
            </w:r>
            <w:r w:rsidR="00064BB5" w:rsidRPr="00C37D9D">
              <w:rPr>
                <w:bCs/>
                <w:sz w:val="18"/>
                <w:szCs w:val="18"/>
              </w:rPr>
              <w:t xml:space="preserve"> the amount allowed on</w:t>
            </w:r>
            <w:r w:rsidR="005518D8" w:rsidRPr="00C37D9D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="0030457B" w:rsidRPr="0030457B">
                <w:rPr>
                  <w:rStyle w:val="Hyperlink"/>
                  <w:bCs/>
                  <w:sz w:val="18"/>
                  <w:szCs w:val="18"/>
                </w:rPr>
                <w:t>Domestic Maximum Per Diem Rates</w:t>
              </w:r>
            </w:hyperlink>
            <w:r w:rsidR="00064BB5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>for the travel location.</w:t>
            </w:r>
            <w:r w:rsidR="00037E08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 xml:space="preserve"> If the location does not appear on </w:t>
            </w:r>
            <w:r w:rsidR="00037E08" w:rsidRPr="00C37D9D">
              <w:rPr>
                <w:bCs/>
                <w:sz w:val="18"/>
                <w:szCs w:val="18"/>
              </w:rPr>
              <w:t>the GSA website</w:t>
            </w:r>
            <w:r w:rsidR="00A540D1" w:rsidRPr="00C37D9D">
              <w:rPr>
                <w:bCs/>
                <w:sz w:val="18"/>
                <w:szCs w:val="18"/>
              </w:rPr>
              <w:t>,</w:t>
            </w:r>
            <w:r w:rsidR="00037E08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>then reimbursement is actual expense up to $</w:t>
            </w:r>
            <w:r w:rsidR="006C0448" w:rsidRPr="00C37D9D">
              <w:rPr>
                <w:bCs/>
                <w:sz w:val="18"/>
                <w:szCs w:val="18"/>
              </w:rPr>
              <w:t>51</w:t>
            </w:r>
            <w:r w:rsidR="00567BEC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>per day</w:t>
            </w:r>
            <w:r w:rsidR="006C0448" w:rsidRPr="00C37D9D">
              <w:rPr>
                <w:bCs/>
                <w:sz w:val="18"/>
                <w:szCs w:val="18"/>
              </w:rPr>
              <w:t>.</w:t>
            </w:r>
          </w:p>
          <w:p w:rsidR="002C5FC6" w:rsidRPr="00C37D9D" w:rsidRDefault="002C5FC6" w:rsidP="00942456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 xml:space="preserve">Judicial officers and the OCA Administrative Director </w:t>
            </w:r>
            <w:r w:rsidRPr="00C37D9D">
              <w:rPr>
                <w:bCs/>
                <w:sz w:val="18"/>
                <w:szCs w:val="18"/>
              </w:rPr>
              <w:t xml:space="preserve">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 xml:space="preserve">actual </w:t>
            </w:r>
            <w:r w:rsidRPr="00C37D9D">
              <w:rPr>
                <w:bCs/>
                <w:sz w:val="18"/>
                <w:szCs w:val="18"/>
              </w:rPr>
              <w:t xml:space="preserve">meal charges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up to</w:t>
            </w:r>
            <w:r w:rsidRPr="00C37D9D">
              <w:rPr>
                <w:bCs/>
                <w:sz w:val="18"/>
                <w:szCs w:val="18"/>
              </w:rPr>
              <w:t xml:space="preserve"> </w:t>
            </w:r>
            <w:r w:rsidR="004505BB" w:rsidRPr="00C37D9D">
              <w:rPr>
                <w:bCs/>
                <w:sz w:val="18"/>
                <w:szCs w:val="18"/>
              </w:rPr>
              <w:t>double the amount shown on the GSA website for the travel location</w:t>
            </w:r>
            <w:r w:rsidR="00D50607" w:rsidRPr="00C37D9D">
              <w:rPr>
                <w:bCs/>
                <w:sz w:val="18"/>
                <w:szCs w:val="18"/>
              </w:rPr>
              <w:t xml:space="preserve"> or </w:t>
            </w:r>
            <w:r w:rsidR="00064BB5" w:rsidRPr="00C37D9D">
              <w:rPr>
                <w:bCs/>
                <w:sz w:val="18"/>
                <w:szCs w:val="18"/>
              </w:rPr>
              <w:t>$</w:t>
            </w:r>
            <w:r w:rsidR="006C0448" w:rsidRPr="00C37D9D">
              <w:rPr>
                <w:bCs/>
                <w:sz w:val="18"/>
                <w:szCs w:val="18"/>
              </w:rPr>
              <w:t>102</w:t>
            </w:r>
            <w:r w:rsidRPr="00C37D9D">
              <w:rPr>
                <w:bCs/>
                <w:sz w:val="18"/>
                <w:szCs w:val="18"/>
              </w:rPr>
              <w:t xml:space="preserve"> per day for in</w:t>
            </w:r>
            <w:r w:rsidR="006C0448" w:rsidRPr="00C37D9D">
              <w:rPr>
                <w:bCs/>
                <w:sz w:val="18"/>
                <w:szCs w:val="18"/>
              </w:rPr>
              <w:t xml:space="preserve"> or out-of</w:t>
            </w:r>
            <w:r w:rsidRPr="00C37D9D">
              <w:rPr>
                <w:bCs/>
                <w:sz w:val="18"/>
                <w:szCs w:val="18"/>
              </w:rPr>
              <w:t>-state travel. **</w:t>
            </w:r>
          </w:p>
          <w:p w:rsidR="002C5FC6" w:rsidRPr="00C37D9D" w:rsidRDefault="002C5FC6" w:rsidP="00942456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30457B">
              <w:rPr>
                <w:color w:val="FF0000"/>
                <w:sz w:val="18"/>
                <w:szCs w:val="18"/>
              </w:rPr>
              <w:t>Under Texas law, gratuities and alcoholic beverages may not be reimbursed.</w:t>
            </w:r>
          </w:p>
        </w:tc>
        <w:tc>
          <w:tcPr>
            <w:tcW w:w="1477" w:type="dxa"/>
          </w:tcPr>
          <w:p w:rsidR="002C5FC6" w:rsidRPr="00C37D9D" w:rsidRDefault="002C5FC6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</w:p>
          <w:p w:rsidR="002C5FC6" w:rsidRPr="00C37D9D" w:rsidRDefault="002C5FC6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</w:p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Lodging</w:t>
            </w:r>
          </w:p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</w:p>
          <w:p w:rsidR="00D62DC1" w:rsidRPr="00C37D9D" w:rsidRDefault="00D62DC1">
            <w:pPr>
              <w:ind w:right="360"/>
              <w:rPr>
                <w:bCs/>
                <w:i/>
                <w:iCs/>
                <w:sz w:val="18"/>
                <w:szCs w:val="18"/>
              </w:rPr>
            </w:pPr>
            <w:r w:rsidRPr="00C37D9D">
              <w:rPr>
                <w:bCs/>
                <w:i/>
                <w:iCs/>
                <w:sz w:val="18"/>
                <w:szCs w:val="18"/>
              </w:rPr>
              <w:t>Note: Limits on lodging rates do not include hotel taxes (see Incidental Expenses, below)</w:t>
            </w:r>
          </w:p>
          <w:p w:rsidR="00D62DC1" w:rsidRPr="00C37D9D" w:rsidRDefault="00D62DC1">
            <w:pPr>
              <w:ind w:right="36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40" w:type="dxa"/>
          </w:tcPr>
          <w:p w:rsidR="00D93340" w:rsidRPr="00C37D9D" w:rsidRDefault="00D93340" w:rsidP="00D93340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Board and committee members</w:t>
            </w:r>
            <w:r w:rsidRPr="00C37D9D">
              <w:rPr>
                <w:bCs/>
                <w:sz w:val="18"/>
                <w:szCs w:val="18"/>
              </w:rPr>
              <w:t xml:space="preserve"> 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actual</w:t>
            </w:r>
            <w:r w:rsidRPr="00C37D9D">
              <w:rPr>
                <w:bCs/>
                <w:sz w:val="18"/>
                <w:szCs w:val="18"/>
              </w:rPr>
              <w:t xml:space="preserve"> lodging charges</w:t>
            </w:r>
            <w:r w:rsidR="005518D8" w:rsidRPr="00C37D9D">
              <w:rPr>
                <w:bCs/>
                <w:sz w:val="18"/>
                <w:szCs w:val="18"/>
              </w:rPr>
              <w:t xml:space="preserve"> up to the amount allowed on </w:t>
            </w:r>
            <w:hyperlink r:id="rId8" w:history="1">
              <w:r w:rsidR="0030457B" w:rsidRPr="0030457B">
                <w:rPr>
                  <w:rStyle w:val="Hyperlink"/>
                  <w:bCs/>
                  <w:sz w:val="18"/>
                  <w:szCs w:val="18"/>
                </w:rPr>
                <w:t>Domestic Maximum Per Diem Rates</w:t>
              </w:r>
            </w:hyperlink>
            <w:r w:rsidR="005518D8" w:rsidRPr="00C37D9D">
              <w:rPr>
                <w:bCs/>
                <w:sz w:val="18"/>
                <w:szCs w:val="18"/>
              </w:rPr>
              <w:t xml:space="preserve"> for the travel location. If the travel location does not appear on the GSA site</w:t>
            </w:r>
            <w:r w:rsidR="00D50607" w:rsidRPr="00C37D9D">
              <w:rPr>
                <w:bCs/>
                <w:sz w:val="18"/>
                <w:szCs w:val="18"/>
              </w:rPr>
              <w:t>,</w:t>
            </w:r>
            <w:r w:rsidR="005518D8" w:rsidRPr="00C37D9D">
              <w:rPr>
                <w:bCs/>
                <w:sz w:val="18"/>
                <w:szCs w:val="18"/>
              </w:rPr>
              <w:t xml:space="preserve"> then reimb</w:t>
            </w:r>
            <w:r w:rsidR="00D50607" w:rsidRPr="00C37D9D">
              <w:rPr>
                <w:bCs/>
                <w:sz w:val="18"/>
                <w:szCs w:val="18"/>
              </w:rPr>
              <w:t>ursement is actual expense up to</w:t>
            </w:r>
            <w:r w:rsidR="001D6C87" w:rsidRPr="00C37D9D">
              <w:rPr>
                <w:bCs/>
                <w:sz w:val="18"/>
                <w:szCs w:val="18"/>
              </w:rPr>
              <w:t xml:space="preserve"> $</w:t>
            </w:r>
            <w:r w:rsidR="006860F7">
              <w:rPr>
                <w:bCs/>
                <w:sz w:val="18"/>
                <w:szCs w:val="18"/>
              </w:rPr>
              <w:t>93 per day (eff. 10/01/17-08/31/18</w:t>
            </w:r>
            <w:proofErr w:type="gramStart"/>
            <w:r w:rsidR="006860F7">
              <w:rPr>
                <w:bCs/>
                <w:sz w:val="18"/>
                <w:szCs w:val="18"/>
              </w:rPr>
              <w:t>).</w:t>
            </w:r>
            <w:r w:rsidR="006F04DB" w:rsidRPr="00C37D9D">
              <w:rPr>
                <w:bCs/>
                <w:sz w:val="18"/>
                <w:szCs w:val="18"/>
              </w:rPr>
              <w:t>*</w:t>
            </w:r>
            <w:proofErr w:type="gramEnd"/>
          </w:p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Judicial officers and the Chief Administrator of a State Agency</w:t>
            </w:r>
            <w:r w:rsidRPr="00C37D9D">
              <w:rPr>
                <w:bCs/>
                <w:sz w:val="18"/>
                <w:szCs w:val="18"/>
              </w:rPr>
              <w:t xml:space="preserve"> 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 xml:space="preserve">actual </w:t>
            </w:r>
            <w:r w:rsidRPr="00C37D9D">
              <w:rPr>
                <w:bCs/>
                <w:sz w:val="18"/>
                <w:szCs w:val="18"/>
              </w:rPr>
              <w:t xml:space="preserve">lodging charges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up to</w:t>
            </w:r>
            <w:r w:rsidR="001D6C87" w:rsidRPr="00C37D9D">
              <w:rPr>
                <w:bCs/>
                <w:sz w:val="18"/>
                <w:szCs w:val="18"/>
              </w:rPr>
              <w:t xml:space="preserve"> $</w:t>
            </w:r>
            <w:r w:rsidR="006860F7">
              <w:rPr>
                <w:bCs/>
                <w:sz w:val="18"/>
                <w:szCs w:val="18"/>
              </w:rPr>
              <w:t xml:space="preserve">186 </w:t>
            </w:r>
            <w:r w:rsidRPr="00C37D9D">
              <w:rPr>
                <w:bCs/>
                <w:sz w:val="18"/>
                <w:szCs w:val="18"/>
              </w:rPr>
              <w:t xml:space="preserve">per day </w:t>
            </w:r>
            <w:r w:rsidR="006860F7">
              <w:rPr>
                <w:bCs/>
                <w:sz w:val="18"/>
                <w:szCs w:val="18"/>
              </w:rPr>
              <w:t>(10/01/17-08/31/18)</w:t>
            </w:r>
            <w:r w:rsidRPr="00C37D9D">
              <w:rPr>
                <w:bCs/>
                <w:sz w:val="18"/>
                <w:szCs w:val="18"/>
              </w:rPr>
              <w:t>.</w:t>
            </w:r>
            <w:r w:rsidR="001B20C1" w:rsidRPr="00C37D9D"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>**</w:t>
            </w:r>
          </w:p>
          <w:p w:rsidR="00D62DC1" w:rsidRPr="00C37D9D" w:rsidRDefault="00D62DC1" w:rsidP="00A920E9">
            <w:pPr>
              <w:ind w:right="360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</w:tcPr>
          <w:p w:rsidR="00D62DC1" w:rsidRPr="00C37D9D" w:rsidRDefault="00D62DC1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</w:p>
          <w:p w:rsidR="00D62DC1" w:rsidRPr="00C37D9D" w:rsidRDefault="00D62DC1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Yes</w:t>
            </w:r>
          </w:p>
          <w:p w:rsidR="00D62DC1" w:rsidRPr="00C37D9D" w:rsidRDefault="00D62DC1" w:rsidP="006C0448">
            <w:pPr>
              <w:ind w:right="-45"/>
              <w:jc w:val="center"/>
              <w:rPr>
                <w:bCs/>
                <w:sz w:val="16"/>
                <w:szCs w:val="18"/>
              </w:rPr>
            </w:pPr>
          </w:p>
          <w:p w:rsidR="00D62DC1" w:rsidRPr="00C37D9D" w:rsidRDefault="00D62DC1" w:rsidP="006F04DB">
            <w:pPr>
              <w:pStyle w:val="BodyText"/>
              <w:ind w:right="-45"/>
              <w:rPr>
                <w:b/>
                <w:sz w:val="18"/>
                <w:szCs w:val="18"/>
              </w:rPr>
            </w:pPr>
            <w:r w:rsidRPr="00C37D9D">
              <w:rPr>
                <w:b/>
                <w:sz w:val="14"/>
                <w:szCs w:val="18"/>
              </w:rPr>
              <w:t>Receipts must show the address for the lodging establishment; indicate payment</w:t>
            </w:r>
            <w:r w:rsidR="0098178F" w:rsidRPr="00C37D9D">
              <w:rPr>
                <w:b/>
                <w:sz w:val="14"/>
                <w:szCs w:val="18"/>
              </w:rPr>
              <w:t xml:space="preserve"> paid</w:t>
            </w:r>
            <w:r w:rsidRPr="00C37D9D">
              <w:rPr>
                <w:b/>
                <w:sz w:val="14"/>
                <w:szCs w:val="18"/>
              </w:rPr>
              <w:t>; and show a zero balance due.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Parking</w:t>
            </w:r>
          </w:p>
        </w:tc>
        <w:tc>
          <w:tcPr>
            <w:tcW w:w="5940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1477" w:type="dxa"/>
          </w:tcPr>
          <w:p w:rsidR="00D62DC1" w:rsidRPr="00C37D9D" w:rsidRDefault="00D62DC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iCs/>
                <w:sz w:val="18"/>
                <w:szCs w:val="18"/>
              </w:rPr>
            </w:pPr>
            <w:r w:rsidRPr="00C37D9D">
              <w:rPr>
                <w:bCs/>
                <w:iCs/>
                <w:sz w:val="18"/>
                <w:szCs w:val="18"/>
              </w:rPr>
              <w:t>Incidental Expenses</w:t>
            </w:r>
          </w:p>
        </w:tc>
        <w:tc>
          <w:tcPr>
            <w:tcW w:w="5940" w:type="dxa"/>
          </w:tcPr>
          <w:p w:rsidR="00D62DC1" w:rsidRPr="00C37D9D" w:rsidRDefault="00D62DC1" w:rsidP="00C37D9D">
            <w:pPr>
              <w:spacing w:before="120" w:after="120"/>
              <w:rPr>
                <w:sz w:val="18"/>
                <w:szCs w:val="16"/>
              </w:rPr>
            </w:pPr>
            <w:r w:rsidRPr="00C37D9D">
              <w:rPr>
                <w:sz w:val="18"/>
                <w:szCs w:val="16"/>
              </w:rPr>
              <w:t>Hotel Taxes</w:t>
            </w:r>
          </w:p>
          <w:p w:rsidR="00D62DC1" w:rsidRPr="00C37D9D" w:rsidRDefault="00D62DC1" w:rsidP="00C37D9D">
            <w:pPr>
              <w:spacing w:after="120"/>
              <w:rPr>
                <w:sz w:val="18"/>
                <w:szCs w:val="16"/>
              </w:rPr>
            </w:pPr>
            <w:r w:rsidRPr="00C37D9D">
              <w:rPr>
                <w:sz w:val="18"/>
                <w:szCs w:val="16"/>
              </w:rPr>
              <w:t>Rental Car Gasoline</w:t>
            </w:r>
          </w:p>
          <w:p w:rsidR="00D62DC1" w:rsidRPr="00C37D9D" w:rsidRDefault="00D62DC1" w:rsidP="00C37D9D">
            <w:pPr>
              <w:spacing w:after="120"/>
              <w:rPr>
                <w:sz w:val="16"/>
                <w:szCs w:val="16"/>
              </w:rPr>
            </w:pPr>
            <w:r w:rsidRPr="00C37D9D">
              <w:rPr>
                <w:sz w:val="18"/>
                <w:szCs w:val="16"/>
              </w:rPr>
              <w:t>Toll Road Charges</w:t>
            </w:r>
          </w:p>
        </w:tc>
        <w:tc>
          <w:tcPr>
            <w:tcW w:w="1477" w:type="dxa"/>
          </w:tcPr>
          <w:p w:rsidR="00D62DC1" w:rsidRPr="00C37D9D" w:rsidRDefault="00D62DC1" w:rsidP="00C37D9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7D9D">
              <w:rPr>
                <w:sz w:val="18"/>
                <w:szCs w:val="18"/>
              </w:rPr>
              <w:t>Yes</w:t>
            </w:r>
          </w:p>
          <w:p w:rsidR="00D62DC1" w:rsidRPr="00C37D9D" w:rsidRDefault="00D62DC1" w:rsidP="00C37D9D">
            <w:pPr>
              <w:spacing w:after="120"/>
              <w:jc w:val="center"/>
              <w:rPr>
                <w:sz w:val="18"/>
                <w:szCs w:val="18"/>
              </w:rPr>
            </w:pPr>
            <w:r w:rsidRPr="00C37D9D">
              <w:rPr>
                <w:sz w:val="18"/>
                <w:szCs w:val="18"/>
              </w:rPr>
              <w:t>Yes</w:t>
            </w:r>
          </w:p>
          <w:p w:rsidR="00D62DC1" w:rsidRPr="00C37D9D" w:rsidRDefault="00D62DC1" w:rsidP="00C37D9D">
            <w:pPr>
              <w:spacing w:after="120"/>
              <w:jc w:val="center"/>
            </w:pPr>
            <w:r w:rsidRPr="00C37D9D">
              <w:rPr>
                <w:sz w:val="18"/>
                <w:szCs w:val="18"/>
              </w:rPr>
              <w:t>No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Meals, Non-overnight Travel</w:t>
            </w:r>
          </w:p>
          <w:p w:rsidR="00D62DC1" w:rsidRPr="00C37D9D" w:rsidRDefault="00D62DC1" w:rsidP="000609D8">
            <w:pPr>
              <w:spacing w:before="120"/>
              <w:ind w:right="360"/>
              <w:rPr>
                <w:bCs/>
                <w:i/>
                <w:iCs/>
                <w:sz w:val="18"/>
                <w:szCs w:val="18"/>
              </w:rPr>
            </w:pPr>
            <w:r w:rsidRPr="00C37D9D">
              <w:rPr>
                <w:bCs/>
                <w:i/>
                <w:iCs/>
                <w:sz w:val="18"/>
                <w:szCs w:val="18"/>
              </w:rPr>
              <w:t>(aka Partial Per Diem)</w:t>
            </w:r>
          </w:p>
          <w:p w:rsidR="00D62DC1" w:rsidRPr="00C37D9D" w:rsidRDefault="00D62DC1" w:rsidP="000609D8">
            <w:pPr>
              <w:spacing w:before="120"/>
              <w:ind w:right="360"/>
              <w:rPr>
                <w:bCs/>
                <w:i/>
                <w:iCs/>
                <w:sz w:val="18"/>
                <w:szCs w:val="18"/>
              </w:rPr>
            </w:pPr>
          </w:p>
          <w:p w:rsidR="00D62DC1" w:rsidRPr="00C37D9D" w:rsidRDefault="00D62DC1" w:rsidP="000609D8">
            <w:pPr>
              <w:spacing w:before="120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When OCA travel does not include an overnight stay, the following limits apply to meal charges:</w:t>
            </w:r>
          </w:p>
          <w:p w:rsidR="00957E7C" w:rsidRPr="00C37D9D" w:rsidRDefault="00957E7C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Board and committee members</w:t>
            </w:r>
            <w:r w:rsidRPr="00C37D9D">
              <w:rPr>
                <w:bCs/>
                <w:sz w:val="18"/>
                <w:szCs w:val="18"/>
              </w:rPr>
              <w:t xml:space="preserve"> may be reimbursed </w:t>
            </w:r>
            <w:r w:rsidR="00E94EC2" w:rsidRPr="00C37D9D">
              <w:rPr>
                <w:bCs/>
                <w:sz w:val="18"/>
                <w:szCs w:val="18"/>
              </w:rPr>
              <w:t>for actual meal charges up to $3</w:t>
            </w:r>
            <w:r w:rsidRPr="00C37D9D">
              <w:rPr>
                <w:bCs/>
                <w:sz w:val="18"/>
                <w:szCs w:val="18"/>
              </w:rPr>
              <w:t>6 per day. *</w:t>
            </w:r>
          </w:p>
          <w:p w:rsidR="00D62DC1" w:rsidRPr="00C37D9D" w:rsidRDefault="00D62DC1" w:rsidP="006860F7">
            <w:pPr>
              <w:spacing w:before="120"/>
              <w:ind w:right="250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Judicial officers</w:t>
            </w:r>
            <w:r w:rsidRPr="00C37D9D">
              <w:rPr>
                <w:bCs/>
                <w:sz w:val="18"/>
                <w:szCs w:val="18"/>
              </w:rPr>
              <w:t xml:space="preserve"> may be reimbursed </w:t>
            </w:r>
            <w:r w:rsidR="00E94EC2" w:rsidRPr="00C37D9D">
              <w:rPr>
                <w:bCs/>
                <w:sz w:val="18"/>
                <w:szCs w:val="18"/>
              </w:rPr>
              <w:t>for actual meal charges up to</w:t>
            </w:r>
            <w:bookmarkStart w:id="0" w:name="_GoBack"/>
            <w:bookmarkEnd w:id="0"/>
            <w:r w:rsidR="00E94EC2" w:rsidRPr="00C37D9D">
              <w:rPr>
                <w:bCs/>
                <w:sz w:val="18"/>
                <w:szCs w:val="18"/>
              </w:rPr>
              <w:t xml:space="preserve"> $7</w:t>
            </w:r>
            <w:r w:rsidRPr="00C37D9D">
              <w:rPr>
                <w:bCs/>
                <w:sz w:val="18"/>
                <w:szCs w:val="18"/>
              </w:rPr>
              <w:t>2 per day.</w:t>
            </w:r>
            <w:r w:rsidR="0054468F" w:rsidRPr="00C37D9D"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>*</w:t>
            </w:r>
            <w:r w:rsidR="00A920E9" w:rsidRPr="00C37D9D">
              <w:rPr>
                <w:bCs/>
                <w:sz w:val="18"/>
                <w:szCs w:val="18"/>
              </w:rPr>
              <w:t>*</w:t>
            </w:r>
          </w:p>
          <w:p w:rsidR="00D62DC1" w:rsidRPr="00C37D9D" w:rsidRDefault="00D62DC1" w:rsidP="006860F7">
            <w:pPr>
              <w:pStyle w:val="BodyText"/>
              <w:spacing w:before="120"/>
              <w:ind w:right="160"/>
              <w:rPr>
                <w:sz w:val="18"/>
                <w:szCs w:val="18"/>
              </w:rPr>
            </w:pPr>
            <w:r w:rsidRPr="006860F7">
              <w:rPr>
                <w:color w:val="FF0000"/>
                <w:sz w:val="18"/>
                <w:szCs w:val="18"/>
              </w:rPr>
              <w:t>Under Texas law, gratuities and alcoholic beverages may not be reimbursed</w:t>
            </w:r>
            <w:r w:rsidRPr="00C37D9D">
              <w:rPr>
                <w:sz w:val="18"/>
                <w:szCs w:val="18"/>
              </w:rPr>
              <w:t>.</w:t>
            </w:r>
          </w:p>
          <w:p w:rsidR="00D62DC1" w:rsidRPr="00C37D9D" w:rsidRDefault="00D62DC1" w:rsidP="006860F7">
            <w:pPr>
              <w:spacing w:before="120"/>
              <w:ind w:right="250"/>
              <w:rPr>
                <w:sz w:val="18"/>
                <w:szCs w:val="18"/>
              </w:rPr>
            </w:pPr>
            <w:r w:rsidRPr="0030457B">
              <w:rPr>
                <w:b/>
                <w:bCs/>
                <w:color w:val="FF0000"/>
                <w:sz w:val="18"/>
                <w:szCs w:val="18"/>
                <w:u w:val="single"/>
              </w:rPr>
              <w:t>Meals reimbursed under this provision are treated as compensation for tax purposes</w:t>
            </w:r>
            <w:r w:rsidRPr="0030457B">
              <w:rPr>
                <w:color w:val="FF0000"/>
                <w:sz w:val="18"/>
                <w:szCs w:val="18"/>
              </w:rPr>
              <w:t xml:space="preserve">; </w:t>
            </w:r>
            <w:r w:rsidRPr="0030457B">
              <w:rPr>
                <w:sz w:val="18"/>
                <w:szCs w:val="18"/>
              </w:rPr>
              <w:t xml:space="preserve">therefore, reimbursement requests must be processed on a travel form separate from other expenses for which reimbursement is requested.  The </w:t>
            </w:r>
            <w:r w:rsidR="006860F7">
              <w:rPr>
                <w:sz w:val="18"/>
                <w:szCs w:val="18"/>
              </w:rPr>
              <w:t xml:space="preserve">payment is processed through the payroll system and the </w:t>
            </w:r>
            <w:r w:rsidRPr="0030457B">
              <w:rPr>
                <w:sz w:val="18"/>
                <w:szCs w:val="18"/>
              </w:rPr>
              <w:t>appropriate withholding and social security taxes will be deducted from the reimbursement amount.</w:t>
            </w:r>
          </w:p>
        </w:tc>
        <w:tc>
          <w:tcPr>
            <w:tcW w:w="1477" w:type="dxa"/>
          </w:tcPr>
          <w:p w:rsidR="00D62DC1" w:rsidRPr="00C37D9D" w:rsidRDefault="00D62DC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</w:tbl>
    <w:p w:rsidR="002C5FC6" w:rsidRPr="00A920E9" w:rsidRDefault="002C5FC6" w:rsidP="002C5FC6">
      <w:pPr>
        <w:ind w:right="360"/>
        <w:rPr>
          <w:sz w:val="16"/>
          <w:szCs w:val="16"/>
        </w:rPr>
      </w:pPr>
    </w:p>
    <w:p w:rsidR="002C5FC6" w:rsidRPr="0030457B" w:rsidRDefault="002C5FC6" w:rsidP="006C0448">
      <w:pPr>
        <w:ind w:right="360"/>
        <w:jc w:val="center"/>
        <w:rPr>
          <w:b/>
          <w:color w:val="FF0000"/>
          <w:sz w:val="20"/>
          <w:szCs w:val="16"/>
        </w:rPr>
      </w:pPr>
      <w:r w:rsidRPr="0030457B">
        <w:rPr>
          <w:b/>
          <w:color w:val="FF0000"/>
          <w:sz w:val="20"/>
          <w:szCs w:val="16"/>
        </w:rPr>
        <w:t>If you</w:t>
      </w:r>
      <w:r w:rsidR="00C37D9D" w:rsidRPr="0030457B">
        <w:rPr>
          <w:b/>
          <w:color w:val="FF0000"/>
          <w:sz w:val="20"/>
          <w:szCs w:val="16"/>
        </w:rPr>
        <w:t xml:space="preserve"> have any questions</w:t>
      </w:r>
      <w:r w:rsidRPr="0030457B">
        <w:rPr>
          <w:b/>
          <w:color w:val="FF0000"/>
          <w:sz w:val="20"/>
          <w:szCs w:val="16"/>
        </w:rPr>
        <w:t>, please call OCA’s Finance and Operations Division at (512) 463-1625.</w:t>
      </w:r>
    </w:p>
    <w:p w:rsidR="006C0448" w:rsidRDefault="006C0448" w:rsidP="006C0448">
      <w:pPr>
        <w:ind w:right="360"/>
        <w:rPr>
          <w:b/>
          <w:sz w:val="16"/>
          <w:szCs w:val="16"/>
        </w:rPr>
      </w:pPr>
    </w:p>
    <w:p w:rsidR="00A46A97" w:rsidRPr="00A920E9" w:rsidRDefault="006771AD" w:rsidP="006C0448">
      <w:pPr>
        <w:ind w:right="360"/>
        <w:rPr>
          <w:b/>
          <w:sz w:val="16"/>
          <w:szCs w:val="16"/>
        </w:rPr>
      </w:pPr>
      <w:r w:rsidRPr="00A920E9">
        <w:rPr>
          <w:b/>
          <w:sz w:val="16"/>
          <w:szCs w:val="16"/>
        </w:rPr>
        <w:t xml:space="preserve">* </w:t>
      </w:r>
      <w:r w:rsidR="00A46A97" w:rsidRPr="00A920E9">
        <w:rPr>
          <w:b/>
          <w:sz w:val="16"/>
          <w:szCs w:val="16"/>
        </w:rPr>
        <w:t xml:space="preserve">In accordance with the </w:t>
      </w:r>
      <w:r w:rsidR="0098178F" w:rsidRPr="00A920E9">
        <w:rPr>
          <w:b/>
          <w:sz w:val="16"/>
          <w:szCs w:val="16"/>
        </w:rPr>
        <w:t>8</w:t>
      </w:r>
      <w:r w:rsidR="006860F7">
        <w:rPr>
          <w:b/>
          <w:sz w:val="16"/>
          <w:szCs w:val="16"/>
        </w:rPr>
        <w:t>5</w:t>
      </w:r>
      <w:r w:rsidR="006C0448" w:rsidRPr="006C0448">
        <w:rPr>
          <w:b/>
          <w:sz w:val="16"/>
          <w:szCs w:val="16"/>
          <w:vertAlign w:val="superscript"/>
        </w:rPr>
        <w:t>th</w:t>
      </w:r>
      <w:r w:rsidR="006C0448">
        <w:rPr>
          <w:b/>
          <w:sz w:val="16"/>
          <w:szCs w:val="16"/>
        </w:rPr>
        <w:t xml:space="preserve"> </w:t>
      </w:r>
      <w:r w:rsidRPr="00A920E9">
        <w:rPr>
          <w:b/>
          <w:sz w:val="16"/>
          <w:szCs w:val="16"/>
        </w:rPr>
        <w:t>Legislature, General Appropriations Act, Art. IX, Section</w:t>
      </w:r>
      <w:r w:rsidR="006C0448">
        <w:rPr>
          <w:b/>
          <w:sz w:val="16"/>
          <w:szCs w:val="16"/>
        </w:rPr>
        <w:t xml:space="preserve"> </w:t>
      </w:r>
      <w:r w:rsidR="00E94EC2">
        <w:rPr>
          <w:b/>
          <w:sz w:val="16"/>
          <w:szCs w:val="16"/>
        </w:rPr>
        <w:t>5.05</w:t>
      </w:r>
      <w:r w:rsidR="00B27CF1" w:rsidRPr="00A920E9">
        <w:rPr>
          <w:b/>
          <w:sz w:val="16"/>
          <w:szCs w:val="16"/>
        </w:rPr>
        <w:t>.</w:t>
      </w:r>
    </w:p>
    <w:p w:rsidR="006771AD" w:rsidRPr="00A920E9" w:rsidRDefault="00F8301D" w:rsidP="006C0448">
      <w:pPr>
        <w:ind w:right="360"/>
        <w:rPr>
          <w:b/>
          <w:sz w:val="16"/>
          <w:szCs w:val="16"/>
        </w:rPr>
      </w:pPr>
      <w:r w:rsidRPr="00A920E9">
        <w:rPr>
          <w:b/>
          <w:sz w:val="16"/>
          <w:szCs w:val="16"/>
        </w:rPr>
        <w:t xml:space="preserve">** </w:t>
      </w:r>
      <w:r w:rsidR="00E94EC2">
        <w:rPr>
          <w:b/>
          <w:sz w:val="16"/>
          <w:szCs w:val="16"/>
        </w:rPr>
        <w:t>8</w:t>
      </w:r>
      <w:r w:rsidR="006860F7">
        <w:rPr>
          <w:b/>
          <w:sz w:val="16"/>
          <w:szCs w:val="16"/>
        </w:rPr>
        <w:t>5</w:t>
      </w:r>
      <w:r w:rsidR="006C0448" w:rsidRPr="006C0448">
        <w:rPr>
          <w:b/>
          <w:sz w:val="16"/>
          <w:szCs w:val="16"/>
          <w:vertAlign w:val="superscript"/>
        </w:rPr>
        <w:t>th</w:t>
      </w:r>
      <w:r w:rsidR="006C0448">
        <w:rPr>
          <w:b/>
          <w:sz w:val="16"/>
          <w:szCs w:val="16"/>
        </w:rPr>
        <w:t xml:space="preserve"> </w:t>
      </w:r>
      <w:r w:rsidR="006771AD" w:rsidRPr="00A920E9">
        <w:rPr>
          <w:b/>
          <w:sz w:val="16"/>
          <w:szCs w:val="16"/>
        </w:rPr>
        <w:t>Legislature, General Appropriations Act, Art. IX, Section</w:t>
      </w:r>
      <w:r w:rsidR="00E94EC2">
        <w:rPr>
          <w:b/>
          <w:sz w:val="16"/>
          <w:szCs w:val="16"/>
        </w:rPr>
        <w:t xml:space="preserve"> 5.06 (Reference Gov</w:t>
      </w:r>
      <w:r w:rsidR="006C0448">
        <w:rPr>
          <w:b/>
          <w:sz w:val="16"/>
          <w:szCs w:val="16"/>
        </w:rPr>
        <w:t>’</w:t>
      </w:r>
      <w:r w:rsidR="00E94EC2">
        <w:rPr>
          <w:b/>
          <w:sz w:val="16"/>
          <w:szCs w:val="16"/>
        </w:rPr>
        <w:t>t Code, Sec. 660.</w:t>
      </w:r>
      <w:r w:rsidR="00D93340" w:rsidRPr="00A920E9">
        <w:rPr>
          <w:b/>
          <w:sz w:val="16"/>
          <w:szCs w:val="16"/>
        </w:rPr>
        <w:t>203.)</w:t>
      </w:r>
    </w:p>
    <w:sectPr w:rsidR="006771AD" w:rsidRPr="00A920E9" w:rsidSect="00733EFF">
      <w:footerReference w:type="default" r:id="rId9"/>
      <w:footerReference w:type="first" r:id="rId10"/>
      <w:pgSz w:w="12240" w:h="15840" w:code="1"/>
      <w:pgMar w:top="720" w:right="1440" w:bottom="547" w:left="144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endnote>
  <w:endnote w:type="continuationSeparator" w:id="0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8D00A0" w:rsidRDefault="00D50607">
    <w:pPr>
      <w:jc w:val="center"/>
      <w:rPr>
        <w:rFonts w:ascii="Arial" w:hAnsi="Arial"/>
        <w:smallCaps/>
        <w:sz w:val="15"/>
        <w:szCs w:val="15"/>
      </w:rPr>
    </w:pPr>
    <w:smartTag w:uri="urn:schemas-microsoft-com:office:smarttags" w:element="Street">
      <w:smartTag w:uri="urn:schemas-microsoft-com:office:smarttags" w:element="address">
        <w:r w:rsidRPr="008D00A0">
          <w:rPr>
            <w:rFonts w:ascii="Arial" w:hAnsi="Arial"/>
            <w:smallCaps/>
            <w:sz w:val="15"/>
            <w:szCs w:val="15"/>
          </w:rPr>
          <w:t>205 West 14</w:t>
        </w:r>
        <w:r w:rsidRPr="008D00A0">
          <w:rPr>
            <w:rFonts w:ascii="Arial" w:hAnsi="Arial"/>
            <w:smallCaps/>
            <w:sz w:val="15"/>
            <w:szCs w:val="15"/>
            <w:vertAlign w:val="superscript"/>
          </w:rPr>
          <w:t>th</w:t>
        </w:r>
        <w:r w:rsidRPr="008D00A0">
          <w:rPr>
            <w:rFonts w:ascii="Arial" w:hAnsi="Arial"/>
            <w:smallCaps/>
            <w:sz w:val="15"/>
            <w:szCs w:val="15"/>
          </w:rPr>
          <w:t xml:space="preserve"> Street, Suite 600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</w:t>
    </w:r>
    <w:smartTag w:uri="urn:schemas-microsoft-com:office:smarttags" w:element="place"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Tom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C.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Clark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Type">
        <w:r w:rsidRPr="008D00A0">
          <w:rPr>
            <w:rFonts w:ascii="Arial" w:hAnsi="Arial"/>
            <w:smallCaps/>
            <w:sz w:val="15"/>
            <w:szCs w:val="15"/>
          </w:rPr>
          <w:t>Building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(512) 463-1625 • FAX (512) 463-1648</w:t>
    </w:r>
  </w:p>
  <w:p w:rsidR="00D50607" w:rsidRPr="008D00A0" w:rsidRDefault="00D50607">
    <w:pPr>
      <w:jc w:val="center"/>
      <w:rPr>
        <w:sz w:val="23"/>
        <w:szCs w:val="23"/>
      </w:rPr>
    </w:pPr>
    <w:r w:rsidRPr="008D00A0">
      <w:rPr>
        <w:rFonts w:ascii="Arial" w:hAnsi="Arial"/>
        <w:smallCaps/>
        <w:sz w:val="15"/>
        <w:szCs w:val="15"/>
      </w:rPr>
      <w:t xml:space="preserve">P. O. </w:t>
    </w:r>
    <w:smartTag w:uri="urn:schemas-microsoft-com:office:smarttags" w:element="address">
      <w:smartTag w:uri="urn:schemas-microsoft-com:office:smarttags" w:element="Street">
        <w:r w:rsidRPr="008D00A0">
          <w:rPr>
            <w:rFonts w:ascii="Arial" w:hAnsi="Arial"/>
            <w:smallCaps/>
            <w:sz w:val="15"/>
            <w:szCs w:val="15"/>
          </w:rPr>
          <w:t>Box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12066</w:t>
      </w:r>
    </w:smartTag>
    <w:r w:rsidRPr="008D00A0">
      <w:rPr>
        <w:rFonts w:ascii="Arial" w:hAnsi="Arial"/>
        <w:smallCaps/>
        <w:sz w:val="15"/>
        <w:szCs w:val="15"/>
      </w:rPr>
      <w:t xml:space="preserve">, Capitol Station • </w:t>
    </w:r>
    <w:smartTag w:uri="urn:schemas-microsoft-com:office:smarttags" w:element="place">
      <w:smartTag w:uri="urn:schemas-microsoft-com:office:smarttags" w:element="City">
        <w:r w:rsidRPr="008D00A0">
          <w:rPr>
            <w:rFonts w:ascii="Arial" w:hAnsi="Arial"/>
            <w:smallCaps/>
            <w:sz w:val="15"/>
            <w:szCs w:val="15"/>
          </w:rPr>
          <w:t>Austin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, </w:t>
      </w:r>
      <w:smartTag w:uri="urn:schemas-microsoft-com:office:smarttags" w:element="State">
        <w:r w:rsidRPr="008D00A0">
          <w:rPr>
            <w:rFonts w:ascii="Arial" w:hAnsi="Arial"/>
            <w:smallCaps/>
            <w:sz w:val="15"/>
            <w:szCs w:val="15"/>
          </w:rPr>
          <w:t>Texas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ostalCode">
        <w:r w:rsidRPr="008D00A0">
          <w:rPr>
            <w:rFonts w:ascii="Arial" w:hAnsi="Arial"/>
            <w:smallCaps/>
            <w:sz w:val="15"/>
            <w:szCs w:val="15"/>
          </w:rPr>
          <w:t>78711-2066</w:t>
        </w:r>
      </w:smartTag>
    </w:smartTag>
  </w:p>
  <w:p w:rsidR="00D50607" w:rsidRPr="008D00A0" w:rsidRDefault="00D50607">
    <w:pPr>
      <w:pStyle w:val="Footer"/>
      <w:jc w:val="center"/>
      <w:rPr>
        <w:sz w:val="23"/>
        <w:szCs w:val="23"/>
      </w:rPr>
    </w:pPr>
    <w:r w:rsidRPr="008D00A0">
      <w:rPr>
        <w:rFonts w:ascii="Arial" w:hAnsi="Arial"/>
        <w:i/>
        <w:sz w:val="15"/>
        <w:szCs w:val="15"/>
      </w:rPr>
      <w:t>http://www.courts.state.tx.us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121D89" w:rsidRDefault="00D50607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</w:t>
    </w:r>
    <w:r w:rsidR="002C3FB8">
      <w:rPr>
        <w:sz w:val="16"/>
        <w:szCs w:val="16"/>
      </w:rPr>
      <w:t xml:space="preserve">Revised </w:t>
    </w:r>
    <w:r w:rsidR="00C37D9D">
      <w:rPr>
        <w:sz w:val="16"/>
        <w:szCs w:val="16"/>
      </w:rPr>
      <w:t>01</w:t>
    </w:r>
    <w:r w:rsidR="000219C7">
      <w:rPr>
        <w:sz w:val="16"/>
        <w:szCs w:val="16"/>
      </w:rPr>
      <w:t>/</w:t>
    </w:r>
    <w:r w:rsidR="00C37D9D">
      <w:rPr>
        <w:sz w:val="16"/>
        <w:szCs w:val="16"/>
      </w:rPr>
      <w:t>0</w:t>
    </w:r>
    <w:r w:rsidR="000219C7">
      <w:rPr>
        <w:sz w:val="16"/>
        <w:szCs w:val="16"/>
      </w:rPr>
      <w:t>1/</w:t>
    </w:r>
    <w:r w:rsidR="00C37D9D">
      <w:rPr>
        <w:sz w:val="16"/>
        <w:szCs w:val="16"/>
      </w:rPr>
      <w:t>201</w:t>
    </w:r>
    <w:r w:rsidR="00C216B5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footnote>
  <w:footnote w:type="continuationSeparator" w:id="0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57D"/>
    <w:multiLevelType w:val="hybridMultilevel"/>
    <w:tmpl w:val="B4CEE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A"/>
    <w:rsid w:val="00011B04"/>
    <w:rsid w:val="000219C7"/>
    <w:rsid w:val="00025E84"/>
    <w:rsid w:val="00037E08"/>
    <w:rsid w:val="000465FC"/>
    <w:rsid w:val="000609D8"/>
    <w:rsid w:val="00064BB5"/>
    <w:rsid w:val="000A4627"/>
    <w:rsid w:val="000F3D5C"/>
    <w:rsid w:val="00104642"/>
    <w:rsid w:val="001166E9"/>
    <w:rsid w:val="00121D89"/>
    <w:rsid w:val="0013360F"/>
    <w:rsid w:val="00185D0A"/>
    <w:rsid w:val="001B20C1"/>
    <w:rsid w:val="001C7D44"/>
    <w:rsid w:val="001D6C87"/>
    <w:rsid w:val="00226123"/>
    <w:rsid w:val="00266F88"/>
    <w:rsid w:val="002C3FB8"/>
    <w:rsid w:val="002C5FC6"/>
    <w:rsid w:val="002C6B81"/>
    <w:rsid w:val="0030457B"/>
    <w:rsid w:val="00322F20"/>
    <w:rsid w:val="003A0586"/>
    <w:rsid w:val="003B0C5D"/>
    <w:rsid w:val="003C09D9"/>
    <w:rsid w:val="004505BB"/>
    <w:rsid w:val="00476E5E"/>
    <w:rsid w:val="004D7FBA"/>
    <w:rsid w:val="00524AB4"/>
    <w:rsid w:val="00536C7D"/>
    <w:rsid w:val="0054468F"/>
    <w:rsid w:val="005518D8"/>
    <w:rsid w:val="00567BEC"/>
    <w:rsid w:val="005F6A76"/>
    <w:rsid w:val="0061787A"/>
    <w:rsid w:val="00630D8D"/>
    <w:rsid w:val="006351A0"/>
    <w:rsid w:val="006771AD"/>
    <w:rsid w:val="006860F7"/>
    <w:rsid w:val="006B5AE6"/>
    <w:rsid w:val="006C0448"/>
    <w:rsid w:val="006D00FC"/>
    <w:rsid w:val="006F04DB"/>
    <w:rsid w:val="00733EFF"/>
    <w:rsid w:val="00790C2A"/>
    <w:rsid w:val="007C2824"/>
    <w:rsid w:val="007E1C10"/>
    <w:rsid w:val="007F3F47"/>
    <w:rsid w:val="0085309B"/>
    <w:rsid w:val="0086579F"/>
    <w:rsid w:val="008D00A0"/>
    <w:rsid w:val="00942456"/>
    <w:rsid w:val="00945777"/>
    <w:rsid w:val="0094744E"/>
    <w:rsid w:val="00957E7C"/>
    <w:rsid w:val="0098178F"/>
    <w:rsid w:val="00987A2C"/>
    <w:rsid w:val="009C161C"/>
    <w:rsid w:val="009D7030"/>
    <w:rsid w:val="00A04EBB"/>
    <w:rsid w:val="00A43E0E"/>
    <w:rsid w:val="00A46A97"/>
    <w:rsid w:val="00A540D1"/>
    <w:rsid w:val="00A728D0"/>
    <w:rsid w:val="00A920E9"/>
    <w:rsid w:val="00AC5632"/>
    <w:rsid w:val="00AF0101"/>
    <w:rsid w:val="00AF6B65"/>
    <w:rsid w:val="00B23EFC"/>
    <w:rsid w:val="00B24928"/>
    <w:rsid w:val="00B27CF1"/>
    <w:rsid w:val="00B3263F"/>
    <w:rsid w:val="00B510EC"/>
    <w:rsid w:val="00B64132"/>
    <w:rsid w:val="00C216B5"/>
    <w:rsid w:val="00C37D9D"/>
    <w:rsid w:val="00C6223A"/>
    <w:rsid w:val="00C641E4"/>
    <w:rsid w:val="00C666B9"/>
    <w:rsid w:val="00CB7482"/>
    <w:rsid w:val="00D33100"/>
    <w:rsid w:val="00D50607"/>
    <w:rsid w:val="00D62DC1"/>
    <w:rsid w:val="00D93340"/>
    <w:rsid w:val="00DC3553"/>
    <w:rsid w:val="00DD1F32"/>
    <w:rsid w:val="00DF107C"/>
    <w:rsid w:val="00E22286"/>
    <w:rsid w:val="00E4528D"/>
    <w:rsid w:val="00E75B2C"/>
    <w:rsid w:val="00E778C0"/>
    <w:rsid w:val="00E94EC2"/>
    <w:rsid w:val="00EA7876"/>
    <w:rsid w:val="00EF2C7E"/>
    <w:rsid w:val="00F044F1"/>
    <w:rsid w:val="00F15504"/>
    <w:rsid w:val="00F311FB"/>
    <w:rsid w:val="00F377A7"/>
    <w:rsid w:val="00F452C0"/>
    <w:rsid w:val="00F516A7"/>
    <w:rsid w:val="00F8301D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  <w14:docId w14:val="3C110D41"/>
  <w15:docId w15:val="{B8FC187C-5F8E-44F4-8214-FB894B25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6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1C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1C10"/>
    <w:rPr>
      <w:color w:val="0000FF"/>
      <w:u w:val="single"/>
    </w:rPr>
  </w:style>
  <w:style w:type="character" w:styleId="FollowedHyperlink">
    <w:name w:val="FollowedHyperlink"/>
    <w:basedOn w:val="DefaultParagraphFont"/>
    <w:rsid w:val="007E1C10"/>
    <w:rPr>
      <w:color w:val="800080"/>
      <w:u w:val="single"/>
    </w:rPr>
  </w:style>
  <w:style w:type="paragraph" w:styleId="BodyText">
    <w:name w:val="Body Text"/>
    <w:basedOn w:val="Normal"/>
    <w:rsid w:val="007E1C10"/>
    <w:pPr>
      <w:ind w:right="360"/>
    </w:pPr>
    <w:rPr>
      <w:sz w:val="20"/>
    </w:rPr>
  </w:style>
  <w:style w:type="paragraph" w:styleId="BalloonText">
    <w:name w:val="Balloon Text"/>
    <w:basedOn w:val="Normal"/>
    <w:semiHidden/>
    <w:rsid w:val="0018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1D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portal/content/104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a.gov/portal/content/1048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State of Texas</Company>
  <LinksUpToDate>false</LinksUpToDate>
  <CharactersWithSpaces>3271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gbowman</dc:creator>
  <cp:lastModifiedBy>C. Harper</cp:lastModifiedBy>
  <cp:revision>4</cp:revision>
  <cp:lastPrinted>2011-08-31T21:40:00Z</cp:lastPrinted>
  <dcterms:created xsi:type="dcterms:W3CDTF">2018-01-03T23:52:00Z</dcterms:created>
  <dcterms:modified xsi:type="dcterms:W3CDTF">2018-01-04T20:53:00Z</dcterms:modified>
</cp:coreProperties>
</file>